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C05E" w14:textId="1C3C2EB1" w:rsidR="001B4E98" w:rsidRPr="007565F7" w:rsidRDefault="007718C6">
      <w:r>
        <w:rPr>
          <w:noProof/>
        </w:rPr>
        <mc:AlternateContent>
          <mc:Choice Requires="wps">
            <w:drawing>
              <wp:anchor distT="45720" distB="45720" distL="114300" distR="114300" simplePos="0" relativeHeight="251652096" behindDoc="0" locked="0" layoutInCell="1" allowOverlap="1" wp14:anchorId="47D45CC2" wp14:editId="41473606">
                <wp:simplePos x="0" y="0"/>
                <wp:positionH relativeFrom="column">
                  <wp:posOffset>1968899</wp:posOffset>
                </wp:positionH>
                <wp:positionV relativeFrom="paragraph">
                  <wp:posOffset>-819017</wp:posOffset>
                </wp:positionV>
                <wp:extent cx="4922874" cy="16236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874" cy="1623695"/>
                        </a:xfrm>
                        <a:prstGeom prst="rect">
                          <a:avLst/>
                        </a:prstGeom>
                        <a:noFill/>
                        <a:ln w="9525">
                          <a:noFill/>
                          <a:miter lim="800000"/>
                          <a:headEnd/>
                          <a:tailEnd/>
                        </a:ln>
                      </wps:spPr>
                      <wps:txbx>
                        <w:txbxContent>
                          <w:p w14:paraId="6659FFC5" w14:textId="77777777" w:rsidR="00E62683" w:rsidRPr="00E62683" w:rsidRDefault="00E62683" w:rsidP="00E62683">
                            <w:pPr>
                              <w:pStyle w:val="Heading1"/>
                              <w:spacing w:after="240"/>
                              <w:rPr>
                                <w:rFonts w:ascii="Arial" w:hAnsi="Arial"/>
                                <w:bCs w:val="0"/>
                                <w:sz w:val="18"/>
                                <w:szCs w:val="18"/>
                              </w:rPr>
                            </w:pPr>
                            <w:r w:rsidRPr="00E62683">
                              <w:rPr>
                                <w:rFonts w:ascii="Arial" w:hAnsi="Arial"/>
                                <w:bCs w:val="0"/>
                                <w:sz w:val="18"/>
                                <w:szCs w:val="18"/>
                              </w:rPr>
                              <w:t>Primary focus for 2021/22: Core Maths pedagogy to support Covid recovery</w:t>
                            </w:r>
                          </w:p>
                          <w:p w14:paraId="25B60913" w14:textId="77777777" w:rsidR="00E62683" w:rsidRPr="00E62683" w:rsidRDefault="00E62683" w:rsidP="00E62683">
                            <w:pPr>
                              <w:pStyle w:val="Heading1"/>
                              <w:spacing w:after="240"/>
                              <w:rPr>
                                <w:rFonts w:ascii="Arial" w:hAnsi="Arial"/>
                                <w:b w:val="0"/>
                                <w:sz w:val="18"/>
                                <w:szCs w:val="18"/>
                              </w:rPr>
                            </w:pPr>
                            <w:r w:rsidRPr="00E62683">
                              <w:rPr>
                                <w:rFonts w:ascii="Arial" w:hAnsi="Arial"/>
                                <w:b w:val="0"/>
                                <w:sz w:val="18"/>
                                <w:szCs w:val="18"/>
                              </w:rPr>
                              <w:t>These Work Groups give teachers opportunities, through collaboration and experimentation, to develop improved teaching approaches that support the open-ended problem-solving skills Core Maths students need to develop, and to share these with departmental colleagues. Participant departments will support the role of Core Maths in promoting contextualised problem-solving and links to teaching in other subject areas.</w:t>
                            </w:r>
                          </w:p>
                          <w:p w14:paraId="08B9B19A" w14:textId="5386F5F1" w:rsidR="00A71403" w:rsidRPr="00C53DA0" w:rsidRDefault="00E62683" w:rsidP="00E62683">
                            <w:pPr>
                              <w:pStyle w:val="Heading1"/>
                              <w:spacing w:after="240"/>
                              <w:rPr>
                                <w:b w:val="0"/>
                                <w:sz w:val="18"/>
                                <w:szCs w:val="18"/>
                              </w:rPr>
                            </w:pPr>
                            <w:r w:rsidRPr="00E62683">
                              <w:rPr>
                                <w:rFonts w:ascii="Arial" w:hAnsi="Arial"/>
                                <w:b w:val="0"/>
                                <w:sz w:val="18"/>
                                <w:szCs w:val="18"/>
                              </w:rPr>
                              <w:t>The project involves a direct working partnership between the Maths Hubs Network and the Advanced Mathematics Support Programme (AMSP).</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D45CC2" id="_x0000_t202" coordsize="21600,21600" o:spt="202" path="m,l,21600r21600,l21600,xe">
                <v:stroke joinstyle="miter"/>
                <v:path gradientshapeok="t" o:connecttype="rect"/>
              </v:shapetype>
              <v:shape id="Text Box 2" o:spid="_x0000_s1026" type="#_x0000_t202" style="position:absolute;margin-left:155.05pt;margin-top:-64.5pt;width:387.65pt;height:127.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" filled="f" stroked="f">
                <v:textbox inset=",0,,0">
                  <w:txbxContent>
                    <w:p w14:paraId="6659FFC5" w14:textId="77777777" w:rsidR="00E62683" w:rsidRPr="00E62683" w:rsidRDefault="00E62683" w:rsidP="00E62683">
                      <w:pPr>
                        <w:pStyle w:val="Heading1"/>
                        <w:spacing w:after="240"/>
                        <w:rPr>
                          <w:rFonts w:ascii="Arial" w:hAnsi="Arial"/>
                          <w:bCs w:val="0"/>
                          <w:sz w:val="18"/>
                          <w:szCs w:val="18"/>
                        </w:rPr>
                      </w:pPr>
                      <w:r w:rsidRPr="00E62683">
                        <w:rPr>
                          <w:rFonts w:ascii="Arial" w:hAnsi="Arial"/>
                          <w:bCs w:val="0"/>
                          <w:sz w:val="18"/>
                          <w:szCs w:val="18"/>
                        </w:rPr>
                        <w:t>Primary focus for 2021/22: Core Maths pedagogy to support Covid recovery</w:t>
                      </w:r>
                    </w:p>
                    <w:p w14:paraId="25B60913" w14:textId="77777777" w:rsidR="00E62683" w:rsidRPr="00E62683" w:rsidRDefault="00E62683" w:rsidP="00E62683">
                      <w:pPr>
                        <w:pStyle w:val="Heading1"/>
                        <w:spacing w:after="240"/>
                        <w:rPr>
                          <w:rFonts w:ascii="Arial" w:hAnsi="Arial"/>
                          <w:b w:val="0"/>
                          <w:sz w:val="18"/>
                          <w:szCs w:val="18"/>
                        </w:rPr>
                      </w:pPr>
                      <w:r w:rsidRPr="00E62683">
                        <w:rPr>
                          <w:rFonts w:ascii="Arial" w:hAnsi="Arial"/>
                          <w:b w:val="0"/>
                          <w:sz w:val="18"/>
                          <w:szCs w:val="18"/>
                        </w:rPr>
                        <w:t>These Work Groups give teachers opportunities, through collaboration and experimentation, to develop improved teaching approaches that support the open-ended problem-solving skills Core Maths students need to develop, and to share these with departmental colleagues. Participant departments will support the role of Core Maths in promoting contextualised problem-solving and links to teaching in other subject areas.</w:t>
                      </w:r>
                    </w:p>
                    <w:p w14:paraId="08B9B19A" w14:textId="5386F5F1" w:rsidR="00A71403" w:rsidRPr="00C53DA0" w:rsidRDefault="00E62683" w:rsidP="00E62683">
                      <w:pPr>
                        <w:pStyle w:val="Heading1"/>
                        <w:spacing w:after="240"/>
                        <w:rPr>
                          <w:b w:val="0"/>
                          <w:sz w:val="18"/>
                          <w:szCs w:val="18"/>
                        </w:rPr>
                      </w:pPr>
                      <w:r w:rsidRPr="00E62683">
                        <w:rPr>
                          <w:rFonts w:ascii="Arial" w:hAnsi="Arial"/>
                          <w:b w:val="0"/>
                          <w:sz w:val="18"/>
                          <w:szCs w:val="18"/>
                        </w:rPr>
                        <w:t>The project involves a direct working partnership between the Maths Hubs Network and the Advanced Mathematics Support Programme (AMSP).</w:t>
                      </w:r>
                    </w:p>
                  </w:txbxContent>
                </v:textbox>
              </v:shape>
            </w:pict>
          </mc:Fallback>
        </mc:AlternateContent>
      </w:r>
      <w:r w:rsidR="00942496">
        <w:rPr>
          <w:noProof/>
        </w:rPr>
        <mc:AlternateContent>
          <mc:Choice Requires="wps">
            <w:drawing>
              <wp:anchor distT="45720" distB="45720" distL="114300" distR="114300" simplePos="0" relativeHeight="251653120" behindDoc="0" locked="0" layoutInCell="1" allowOverlap="1" wp14:anchorId="50411755" wp14:editId="3E9A9DE2">
                <wp:simplePos x="0" y="0"/>
                <wp:positionH relativeFrom="column">
                  <wp:posOffset>-357505</wp:posOffset>
                </wp:positionH>
                <wp:positionV relativeFrom="paragraph">
                  <wp:posOffset>-786765</wp:posOffset>
                </wp:positionV>
                <wp:extent cx="2042160" cy="18135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813560"/>
                        </a:xfrm>
                        <a:prstGeom prst="rect">
                          <a:avLst/>
                        </a:prstGeom>
                        <a:noFill/>
                        <a:ln w="9525">
                          <a:noFill/>
                          <a:miter lim="800000"/>
                          <a:headEnd/>
                          <a:tailEnd/>
                        </a:ln>
                      </wps:spPr>
                      <wps:txbx>
                        <w:txbxContent>
                          <w:p w14:paraId="52D71C8F" w14:textId="21F9BA08" w:rsidR="00942496" w:rsidRPr="00E52550" w:rsidRDefault="00FC6793">
                            <w:pPr>
                              <w:rPr>
                                <w:rFonts w:ascii="Century Gothic" w:hAnsi="Century Gothic"/>
                                <w:b/>
                                <w:bCs w:val="0"/>
                                <w:color w:val="FFFFFF" w:themeColor="background1"/>
                                <w:sz w:val="42"/>
                                <w:szCs w:val="42"/>
                              </w:rPr>
                            </w:pPr>
                            <w:r>
                              <w:rPr>
                                <w:rFonts w:ascii="Century Gothic" w:hAnsi="Century Gothic"/>
                                <w:b/>
                                <w:bCs w:val="0"/>
                                <w:color w:val="FFFFFF" w:themeColor="background1"/>
                                <w:sz w:val="42"/>
                                <w:szCs w:val="42"/>
                              </w:rPr>
                              <w:t>Developing</w:t>
                            </w:r>
                            <w:r w:rsidR="00B83499">
                              <w:rPr>
                                <w:rFonts w:ascii="Century Gothic" w:hAnsi="Century Gothic"/>
                                <w:b/>
                                <w:bCs w:val="0"/>
                                <w:color w:val="FFFFFF" w:themeColor="background1"/>
                                <w:sz w:val="42"/>
                                <w:szCs w:val="42"/>
                              </w:rPr>
                              <w:t xml:space="preserve"> Core Maths</w:t>
                            </w:r>
                            <w:r>
                              <w:rPr>
                                <w:rFonts w:ascii="Century Gothic" w:hAnsi="Century Gothic"/>
                                <w:b/>
                                <w:bCs w:val="0"/>
                                <w:color w:val="FFFFFF" w:themeColor="background1"/>
                                <w:sz w:val="42"/>
                                <w:szCs w:val="42"/>
                              </w:rPr>
                              <w:t xml:space="preserve"> Pedagogy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11755" id="_x0000_s1027" type="#_x0000_t202" style="position:absolute;margin-left:-28.15pt;margin-top:-61.95pt;width:160.8pt;height:142.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" filled="f" stroked="f">
                <v:textbox>
                  <w:txbxContent>
                    <w:p w14:paraId="52D71C8F" w14:textId="21F9BA08" w:rsidR="00942496" w:rsidRPr="00E52550" w:rsidRDefault="00FC6793">
                      <w:pPr>
                        <w:rPr>
                          <w:rFonts w:ascii="Century Gothic" w:hAnsi="Century Gothic"/>
                          <w:b/>
                          <w:bCs w:val="0"/>
                          <w:color w:val="FFFFFF" w:themeColor="background1"/>
                          <w:sz w:val="42"/>
                          <w:szCs w:val="42"/>
                        </w:rPr>
                      </w:pPr>
                      <w:r>
                        <w:rPr>
                          <w:rFonts w:ascii="Century Gothic" w:hAnsi="Century Gothic"/>
                          <w:b/>
                          <w:bCs w:val="0"/>
                          <w:color w:val="FFFFFF" w:themeColor="background1"/>
                          <w:sz w:val="42"/>
                          <w:szCs w:val="42"/>
                        </w:rPr>
                        <w:t>Developing</w:t>
                      </w:r>
                      <w:r w:rsidR="00B83499">
                        <w:rPr>
                          <w:rFonts w:ascii="Century Gothic" w:hAnsi="Century Gothic"/>
                          <w:b/>
                          <w:bCs w:val="0"/>
                          <w:color w:val="FFFFFF" w:themeColor="background1"/>
                          <w:sz w:val="42"/>
                          <w:szCs w:val="42"/>
                        </w:rPr>
                        <w:t xml:space="preserve"> Core Maths</w:t>
                      </w:r>
                      <w:r>
                        <w:rPr>
                          <w:rFonts w:ascii="Century Gothic" w:hAnsi="Century Gothic"/>
                          <w:b/>
                          <w:bCs w:val="0"/>
                          <w:color w:val="FFFFFF" w:themeColor="background1"/>
                          <w:sz w:val="42"/>
                          <w:szCs w:val="42"/>
                        </w:rPr>
                        <w:t xml:space="preserve"> Pedagogy</w:t>
                      </w:r>
                    </w:p>
                  </w:txbxContent>
                </v:textbox>
              </v:shape>
            </w:pict>
          </mc:Fallback>
        </mc:AlternateContent>
      </w:r>
      <w:r w:rsidR="005943B8">
        <w:rPr>
          <w:noProof/>
        </w:rPr>
        <mc:AlternateContent>
          <mc:Choice Requires="wps">
            <w:drawing>
              <wp:anchor distT="45720" distB="45720" distL="114300" distR="114300" simplePos="0" relativeHeight="251654144" behindDoc="0" locked="0" layoutInCell="1" allowOverlap="1" wp14:anchorId="2E87C878" wp14:editId="4E094B16">
                <wp:simplePos x="0" y="0"/>
                <wp:positionH relativeFrom="column">
                  <wp:posOffset>2052690</wp:posOffset>
                </wp:positionH>
                <wp:positionV relativeFrom="paragraph">
                  <wp:posOffset>-1173224</wp:posOffset>
                </wp:positionV>
                <wp:extent cx="4744397" cy="3543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397" cy="354330"/>
                        </a:xfrm>
                        <a:prstGeom prst="rect">
                          <a:avLst/>
                        </a:prstGeom>
                        <a:noFill/>
                        <a:ln w="9525">
                          <a:noFill/>
                          <a:miter lim="800000"/>
                          <a:headEnd/>
                          <a:tailEnd/>
                        </a:ln>
                      </wps:spPr>
                      <wps:txbx>
                        <w:txbxContent>
                          <w:p w14:paraId="3308D768" w14:textId="69360351" w:rsidR="00DD2266" w:rsidRPr="0005775B" w:rsidRDefault="00FE5109" w:rsidP="00FE5109">
                            <w:pPr>
                              <w:pStyle w:val="Heading1"/>
                              <w:rPr>
                                <w:color w:val="FFFFFF" w:themeColor="background1"/>
                                <w:sz w:val="32"/>
                                <w:szCs w:val="20"/>
                              </w:rPr>
                            </w:pPr>
                            <w:r w:rsidRPr="0005775B">
                              <w:rPr>
                                <w:color w:val="FFFFFF" w:themeColor="background1"/>
                                <w:sz w:val="32"/>
                                <w:szCs w:val="20"/>
                              </w:rPr>
                              <w:t>Outline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C878" id="_x0000_s1028" type="#_x0000_t202" style="position:absolute;margin-left:161.65pt;margin-top:-92.4pt;width:373.55pt;height:27.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" filled="f" stroked="f">
                <v:textbox>
                  <w:txbxContent>
                    <w:p w14:paraId="3308D768" w14:textId="69360351" w:rsidR="00DD2266" w:rsidRPr="0005775B" w:rsidRDefault="00FE5109" w:rsidP="00FE5109">
                      <w:pPr>
                        <w:pStyle w:val="Heading1"/>
                        <w:rPr>
                          <w:color w:val="FFFFFF" w:themeColor="background1"/>
                          <w:sz w:val="32"/>
                          <w:szCs w:val="20"/>
                        </w:rPr>
                      </w:pPr>
                      <w:r w:rsidRPr="0005775B">
                        <w:rPr>
                          <w:color w:val="FFFFFF" w:themeColor="background1"/>
                          <w:sz w:val="32"/>
                          <w:szCs w:val="20"/>
                        </w:rPr>
                        <w:t>Outline</w:t>
                      </w:r>
                    </w:p>
                  </w:txbxContent>
                </v:textbox>
              </v:shape>
            </w:pict>
          </mc:Fallback>
        </mc:AlternateContent>
      </w:r>
    </w:p>
    <w:p w14:paraId="5597EF2D" w14:textId="40DDEC9B" w:rsidR="006C6C4E" w:rsidRDefault="006C6C4E" w:rsidP="006C6C4E">
      <w:pPr>
        <w:rPr>
          <w:bCs w:val="0"/>
        </w:rPr>
      </w:pPr>
    </w:p>
    <w:p w14:paraId="4486F643" w14:textId="10B6BB38" w:rsidR="00984AF9" w:rsidRDefault="0050233C" w:rsidP="006C6C4E">
      <w:pPr>
        <w:rPr>
          <w:bCs w:val="0"/>
        </w:rPr>
      </w:pPr>
      <w:r>
        <w:rPr>
          <w:noProof/>
        </w:rPr>
        <mc:AlternateContent>
          <mc:Choice Requires="wps">
            <w:drawing>
              <wp:anchor distT="45720" distB="45720" distL="114300" distR="114300" simplePos="0" relativeHeight="251655168" behindDoc="0" locked="0" layoutInCell="1" allowOverlap="1" wp14:anchorId="61997BE5" wp14:editId="559279F6">
                <wp:simplePos x="0" y="0"/>
                <wp:positionH relativeFrom="column">
                  <wp:posOffset>2066290</wp:posOffset>
                </wp:positionH>
                <wp:positionV relativeFrom="paragraph">
                  <wp:posOffset>211786</wp:posOffset>
                </wp:positionV>
                <wp:extent cx="4730750" cy="35433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354330"/>
                        </a:xfrm>
                        <a:prstGeom prst="rect">
                          <a:avLst/>
                        </a:prstGeom>
                        <a:noFill/>
                        <a:ln w="9525">
                          <a:noFill/>
                          <a:miter lim="800000"/>
                          <a:headEnd/>
                          <a:tailEnd/>
                        </a:ln>
                      </wps:spPr>
                      <wps:txbx>
                        <w:txbxContent>
                          <w:p w14:paraId="3DA7020F" w14:textId="22EFB69E" w:rsidR="00D5440E" w:rsidRPr="0005775B" w:rsidRDefault="00D5440E" w:rsidP="00D5440E">
                            <w:pPr>
                              <w:pStyle w:val="Heading1"/>
                              <w:rPr>
                                <w:color w:val="FFFFFF" w:themeColor="background1"/>
                                <w:sz w:val="32"/>
                                <w:szCs w:val="20"/>
                              </w:rPr>
                            </w:pPr>
                            <w:r w:rsidRPr="0005775B">
                              <w:rPr>
                                <w:color w:val="FFFFFF" w:themeColor="background1"/>
                                <w:sz w:val="32"/>
                                <w:szCs w:val="20"/>
                              </w:rPr>
                              <w:t>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97BE5" id="_x0000_s1029" type="#_x0000_t202" style="position:absolute;margin-left:162.7pt;margin-top:16.7pt;width:372.5pt;height:27.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" filled="f" stroked="f">
                <v:textbox>
                  <w:txbxContent>
                    <w:p w14:paraId="3DA7020F" w14:textId="22EFB69E" w:rsidR="00D5440E" w:rsidRPr="0005775B" w:rsidRDefault="00D5440E" w:rsidP="00D5440E">
                      <w:pPr>
                        <w:pStyle w:val="Heading1"/>
                        <w:rPr>
                          <w:color w:val="FFFFFF" w:themeColor="background1"/>
                          <w:sz w:val="32"/>
                          <w:szCs w:val="20"/>
                        </w:rPr>
                      </w:pPr>
                      <w:r w:rsidRPr="0005775B">
                        <w:rPr>
                          <w:color w:val="FFFFFF" w:themeColor="background1"/>
                          <w:sz w:val="32"/>
                          <w:szCs w:val="20"/>
                        </w:rPr>
                        <w:t>Details</w:t>
                      </w:r>
                    </w:p>
                  </w:txbxContent>
                </v:textbox>
              </v:shape>
            </w:pict>
          </mc:Fallback>
        </mc:AlternateContent>
      </w:r>
    </w:p>
    <w:p w14:paraId="53A69252" w14:textId="6C0A6899" w:rsidR="00984AF9" w:rsidRDefault="0050233C" w:rsidP="006C6C4E">
      <w:pPr>
        <w:rPr>
          <w:bCs w:val="0"/>
        </w:rPr>
      </w:pPr>
      <w:r>
        <w:rPr>
          <w:noProof/>
        </w:rPr>
        <mc:AlternateContent>
          <mc:Choice Requires="wps">
            <w:drawing>
              <wp:anchor distT="45720" distB="45720" distL="114300" distR="114300" simplePos="0" relativeHeight="251656192" behindDoc="0" locked="0" layoutInCell="1" allowOverlap="1" wp14:anchorId="19B45F35" wp14:editId="6F5DAC94">
                <wp:simplePos x="0" y="0"/>
                <wp:positionH relativeFrom="column">
                  <wp:posOffset>2051685</wp:posOffset>
                </wp:positionH>
                <wp:positionV relativeFrom="paragraph">
                  <wp:posOffset>300355</wp:posOffset>
                </wp:positionV>
                <wp:extent cx="2319655" cy="781494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7814945"/>
                        </a:xfrm>
                        <a:prstGeom prst="rect">
                          <a:avLst/>
                        </a:prstGeom>
                        <a:noFill/>
                        <a:ln w="9525">
                          <a:noFill/>
                          <a:miter lim="800000"/>
                          <a:headEnd/>
                          <a:tailEnd/>
                        </a:ln>
                      </wps:spPr>
                      <wps:txbx>
                        <w:txbxContent>
                          <w:p w14:paraId="5400853F" w14:textId="2277DEA3" w:rsidR="00DA1D15" w:rsidRPr="00DA1D15" w:rsidRDefault="00DA1D15" w:rsidP="00DA1D15">
                            <w:pPr>
                              <w:rPr>
                                <w:rFonts w:ascii="Century Gothic" w:hAnsi="Century Gothic"/>
                                <w:b/>
                                <w:sz w:val="28"/>
                                <w:szCs w:val="28"/>
                              </w:rPr>
                            </w:pPr>
                            <w:r w:rsidRPr="00DA1D15">
                              <w:rPr>
                                <w:rFonts w:ascii="Century Gothic" w:hAnsi="Century Gothic"/>
                                <w:b/>
                                <w:sz w:val="28"/>
                                <w:szCs w:val="28"/>
                              </w:rPr>
                              <w:t>What is involved?</w:t>
                            </w:r>
                          </w:p>
                          <w:p w14:paraId="1050E57D" w14:textId="77777777" w:rsidR="00F0325D" w:rsidRDefault="00F0325D" w:rsidP="00F0325D">
                            <w:pPr>
                              <w:pStyle w:val="Heading1"/>
                              <w:rPr>
                                <w:rFonts w:ascii="Arial" w:hAnsi="Arial"/>
                                <w:bCs w:val="0"/>
                                <w:sz w:val="18"/>
                                <w:szCs w:val="18"/>
                              </w:rPr>
                            </w:pPr>
                          </w:p>
                          <w:p w14:paraId="452033EB" w14:textId="77777777" w:rsidR="00821B92" w:rsidRPr="00821B92" w:rsidRDefault="00821B92" w:rsidP="00821B92">
                            <w:pPr>
                              <w:rPr>
                                <w:rFonts w:ascii="Arial" w:hAnsi="Arial"/>
                                <w:sz w:val="18"/>
                                <w:szCs w:val="18"/>
                                <w:lang w:eastAsia="en-US"/>
                              </w:rPr>
                            </w:pPr>
                            <w:r w:rsidRPr="00821B92">
                              <w:rPr>
                                <w:rFonts w:ascii="Arial" w:hAnsi="Arial"/>
                                <w:sz w:val="18"/>
                                <w:szCs w:val="18"/>
                                <w:lang w:eastAsia="en-US"/>
                              </w:rPr>
                              <w:t>Work Groups will be either online or a blended mix of face-to-face and online meetings with three days (or equivalent) of direct Work Group workshop time.</w:t>
                            </w:r>
                          </w:p>
                          <w:p w14:paraId="2C54400F" w14:textId="77777777" w:rsidR="00821B92" w:rsidRPr="00821B92" w:rsidRDefault="00821B92" w:rsidP="00821B92">
                            <w:pPr>
                              <w:rPr>
                                <w:rFonts w:ascii="Arial" w:hAnsi="Arial"/>
                                <w:sz w:val="18"/>
                                <w:szCs w:val="18"/>
                                <w:lang w:eastAsia="en-US"/>
                              </w:rPr>
                            </w:pPr>
                            <w:r w:rsidRPr="00821B92">
                              <w:rPr>
                                <w:rFonts w:ascii="Arial" w:hAnsi="Arial"/>
                                <w:sz w:val="18"/>
                                <w:szCs w:val="18"/>
                                <w:lang w:eastAsia="en-US"/>
                              </w:rPr>
                              <w:t>Work Groups will be designed to meet the specific needs of the lead participants.</w:t>
                            </w:r>
                          </w:p>
                          <w:p w14:paraId="4916630C" w14:textId="372A48E1" w:rsidR="005D6667" w:rsidRPr="00DA1D15" w:rsidRDefault="00C91B1C" w:rsidP="00821B92">
                            <w:pPr>
                              <w:rPr>
                                <w:rFonts w:ascii="Century Gothic" w:hAnsi="Century Gothic"/>
                                <w:b/>
                                <w:sz w:val="28"/>
                                <w:szCs w:val="28"/>
                              </w:rPr>
                            </w:pPr>
                            <w:r>
                              <w:rPr>
                                <w:rFonts w:ascii="Century Gothic" w:hAnsi="Century Gothic"/>
                                <w:b/>
                                <w:sz w:val="28"/>
                                <w:szCs w:val="28"/>
                              </w:rPr>
                              <w:t>Who can take part?</w:t>
                            </w:r>
                          </w:p>
                          <w:p w14:paraId="2556EE7F" w14:textId="77777777" w:rsidR="00F927F5" w:rsidRDefault="00F927F5" w:rsidP="00F82464">
                            <w:pPr>
                              <w:pStyle w:val="Heading1"/>
                              <w:rPr>
                                <w:rFonts w:ascii="Arial" w:hAnsi="Arial"/>
                                <w:b w:val="0"/>
                                <w:bCs w:val="0"/>
                                <w:sz w:val="18"/>
                                <w:szCs w:val="18"/>
                                <w:lang w:eastAsia="en-GB"/>
                              </w:rPr>
                            </w:pPr>
                          </w:p>
                          <w:p w14:paraId="75C7400B" w14:textId="79929C96" w:rsidR="00F82464" w:rsidRPr="00862A4C" w:rsidRDefault="00664638" w:rsidP="00664638">
                            <w:pPr>
                              <w:pStyle w:val="Heading1"/>
                              <w:rPr>
                                <w:sz w:val="32"/>
                                <w:szCs w:val="20"/>
                              </w:rPr>
                            </w:pPr>
                            <w:r w:rsidRPr="00664638">
                              <w:rPr>
                                <w:rFonts w:ascii="Arial" w:hAnsi="Arial"/>
                                <w:b w:val="0"/>
                                <w:bCs w:val="0"/>
                                <w:sz w:val="18"/>
                                <w:szCs w:val="18"/>
                                <w:lang w:eastAsia="en-GB"/>
                              </w:rPr>
                              <w:t>Lead participants in these Work Groups will be experienced and developing teachers of Core Maths. These may be teachers in post-16 settings whose main subject is maths or whose main subject is not maths. This Work Group is for schools and colleges in at least their second year of teaching Core Maths. Lead participants will be expected, where appropriate, to work with colleagues in their own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5F35" id="_x0000_s1030" type="#_x0000_t202" style="position:absolute;margin-left:161.55pt;margin-top:23.65pt;width:182.65pt;height:615.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" filled="f" stroked="f">
                <v:textbox>
                  <w:txbxContent>
                    <w:p w14:paraId="5400853F" w14:textId="2277DEA3" w:rsidR="00DA1D15" w:rsidRPr="00DA1D15" w:rsidRDefault="00DA1D15" w:rsidP="00DA1D15">
                      <w:pPr>
                        <w:rPr>
                          <w:rFonts w:ascii="Century Gothic" w:hAnsi="Century Gothic"/>
                          <w:b/>
                          <w:sz w:val="28"/>
                          <w:szCs w:val="28"/>
                        </w:rPr>
                      </w:pPr>
                      <w:r w:rsidRPr="00DA1D15">
                        <w:rPr>
                          <w:rFonts w:ascii="Century Gothic" w:hAnsi="Century Gothic"/>
                          <w:b/>
                          <w:sz w:val="28"/>
                          <w:szCs w:val="28"/>
                        </w:rPr>
                        <w:t>What is involved?</w:t>
                      </w:r>
                    </w:p>
                    <w:p w14:paraId="1050E57D" w14:textId="77777777" w:rsidR="00F0325D" w:rsidRDefault="00F0325D" w:rsidP="00F0325D">
                      <w:pPr>
                        <w:pStyle w:val="Heading1"/>
                        <w:rPr>
                          <w:rFonts w:ascii="Arial" w:hAnsi="Arial"/>
                          <w:bCs w:val="0"/>
                          <w:sz w:val="18"/>
                          <w:szCs w:val="18"/>
                        </w:rPr>
                      </w:pPr>
                    </w:p>
                    <w:p w14:paraId="452033EB" w14:textId="77777777" w:rsidR="00821B92" w:rsidRPr="00821B92" w:rsidRDefault="00821B92" w:rsidP="00821B92">
                      <w:pPr>
                        <w:rPr>
                          <w:rFonts w:ascii="Arial" w:hAnsi="Arial"/>
                          <w:sz w:val="18"/>
                          <w:szCs w:val="18"/>
                          <w:lang w:eastAsia="en-US"/>
                        </w:rPr>
                      </w:pPr>
                      <w:r w:rsidRPr="00821B92">
                        <w:rPr>
                          <w:rFonts w:ascii="Arial" w:hAnsi="Arial"/>
                          <w:sz w:val="18"/>
                          <w:szCs w:val="18"/>
                          <w:lang w:eastAsia="en-US"/>
                        </w:rPr>
                        <w:t>Work Groups will be either online or a blended mix of face-to-face and online meetings with three days (or equivalent) of direct Work Group workshop time.</w:t>
                      </w:r>
                    </w:p>
                    <w:p w14:paraId="2C54400F" w14:textId="77777777" w:rsidR="00821B92" w:rsidRPr="00821B92" w:rsidRDefault="00821B92" w:rsidP="00821B92">
                      <w:pPr>
                        <w:rPr>
                          <w:rFonts w:ascii="Arial" w:hAnsi="Arial"/>
                          <w:sz w:val="18"/>
                          <w:szCs w:val="18"/>
                          <w:lang w:eastAsia="en-US"/>
                        </w:rPr>
                      </w:pPr>
                      <w:r w:rsidRPr="00821B92">
                        <w:rPr>
                          <w:rFonts w:ascii="Arial" w:hAnsi="Arial"/>
                          <w:sz w:val="18"/>
                          <w:szCs w:val="18"/>
                          <w:lang w:eastAsia="en-US"/>
                        </w:rPr>
                        <w:t>Work Groups will be designed to meet the specific needs of the lead participants.</w:t>
                      </w:r>
                    </w:p>
                    <w:p w14:paraId="4916630C" w14:textId="372A48E1" w:rsidR="005D6667" w:rsidRPr="00DA1D15" w:rsidRDefault="00C91B1C" w:rsidP="00821B92">
                      <w:pPr>
                        <w:rPr>
                          <w:rFonts w:ascii="Century Gothic" w:hAnsi="Century Gothic"/>
                          <w:b/>
                          <w:sz w:val="28"/>
                          <w:szCs w:val="28"/>
                        </w:rPr>
                      </w:pPr>
                      <w:r>
                        <w:rPr>
                          <w:rFonts w:ascii="Century Gothic" w:hAnsi="Century Gothic"/>
                          <w:b/>
                          <w:sz w:val="28"/>
                          <w:szCs w:val="28"/>
                        </w:rPr>
                        <w:t>Who can take part?</w:t>
                      </w:r>
                    </w:p>
                    <w:p w14:paraId="2556EE7F" w14:textId="77777777" w:rsidR="00F927F5" w:rsidRDefault="00F927F5" w:rsidP="00F82464">
                      <w:pPr>
                        <w:pStyle w:val="Heading1"/>
                        <w:rPr>
                          <w:rFonts w:ascii="Arial" w:hAnsi="Arial"/>
                          <w:b w:val="0"/>
                          <w:bCs w:val="0"/>
                          <w:sz w:val="18"/>
                          <w:szCs w:val="18"/>
                          <w:lang w:eastAsia="en-GB"/>
                        </w:rPr>
                      </w:pPr>
                    </w:p>
                    <w:p w14:paraId="75C7400B" w14:textId="79929C96" w:rsidR="00F82464" w:rsidRPr="00862A4C" w:rsidRDefault="00664638" w:rsidP="00664638">
                      <w:pPr>
                        <w:pStyle w:val="Heading1"/>
                        <w:rPr>
                          <w:sz w:val="32"/>
                          <w:szCs w:val="20"/>
                        </w:rPr>
                      </w:pPr>
                      <w:r w:rsidRPr="00664638">
                        <w:rPr>
                          <w:rFonts w:ascii="Arial" w:hAnsi="Arial"/>
                          <w:b w:val="0"/>
                          <w:bCs w:val="0"/>
                          <w:sz w:val="18"/>
                          <w:szCs w:val="18"/>
                          <w:lang w:eastAsia="en-GB"/>
                        </w:rPr>
                        <w:t>Lead participants in these Work Groups will be experienced and developing teachers of Core Maths. These may be teachers in post-16 settings whose main subject is maths or whose main subject is not maths. This Work Group is for schools and colleges in at least their second year of teaching Core Maths. Lead participants will be expected, where appropriate, to work with colleagues in their own department.</w:t>
                      </w:r>
                    </w:p>
                  </w:txbxContent>
                </v:textbox>
              </v:shape>
            </w:pict>
          </mc:Fallback>
        </mc:AlternateContent>
      </w:r>
      <w:r>
        <w:rPr>
          <w:noProof/>
        </w:rPr>
        <mc:AlternateContent>
          <mc:Choice Requires="wps">
            <w:drawing>
              <wp:anchor distT="45720" distB="45720" distL="114300" distR="114300" simplePos="0" relativeHeight="251657216" behindDoc="0" locked="0" layoutInCell="1" allowOverlap="1" wp14:anchorId="7A27565C" wp14:editId="77B29E47">
                <wp:simplePos x="0" y="0"/>
                <wp:positionH relativeFrom="column">
                  <wp:posOffset>4468495</wp:posOffset>
                </wp:positionH>
                <wp:positionV relativeFrom="paragraph">
                  <wp:posOffset>300355</wp:posOffset>
                </wp:positionV>
                <wp:extent cx="2327910" cy="781494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7814945"/>
                        </a:xfrm>
                        <a:prstGeom prst="rect">
                          <a:avLst/>
                        </a:prstGeom>
                        <a:noFill/>
                        <a:ln w="9525">
                          <a:noFill/>
                          <a:miter lim="800000"/>
                          <a:headEnd/>
                          <a:tailEnd/>
                        </a:ln>
                      </wps:spPr>
                      <wps:txbx>
                        <w:txbxContent>
                          <w:p w14:paraId="67B9E936" w14:textId="638C1AF5" w:rsidR="005943B8" w:rsidRPr="00DA1D15" w:rsidRDefault="004F67D0" w:rsidP="005943B8">
                            <w:pPr>
                              <w:rPr>
                                <w:rFonts w:ascii="Century Gothic" w:hAnsi="Century Gothic"/>
                                <w:b/>
                                <w:sz w:val="28"/>
                                <w:szCs w:val="28"/>
                              </w:rPr>
                            </w:pPr>
                            <w:r>
                              <w:rPr>
                                <w:rFonts w:ascii="Century Gothic" w:hAnsi="Century Gothic"/>
                                <w:b/>
                                <w:sz w:val="28"/>
                                <w:szCs w:val="28"/>
                              </w:rPr>
                              <w:t>What are the benefits?</w:t>
                            </w:r>
                          </w:p>
                          <w:p w14:paraId="30773C1D" w14:textId="77777777" w:rsidR="00246719" w:rsidRPr="00246719" w:rsidRDefault="00246719" w:rsidP="00246719">
                            <w:pPr>
                              <w:rPr>
                                <w:rFonts w:ascii="Arial" w:hAnsi="Arial"/>
                                <w:sz w:val="18"/>
                                <w:szCs w:val="18"/>
                              </w:rPr>
                            </w:pPr>
                            <w:r w:rsidRPr="00246719">
                              <w:rPr>
                                <w:rFonts w:ascii="Arial" w:hAnsi="Arial"/>
                                <w:sz w:val="18"/>
                                <w:szCs w:val="18"/>
                              </w:rPr>
                              <w:t>Participants and their departments will:</w:t>
                            </w:r>
                          </w:p>
                          <w:p w14:paraId="6949F0CF"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disseminate information or lead professional development on Core Maths pedagogy with their departments</w:t>
                            </w:r>
                          </w:p>
                          <w:p w14:paraId="5391480A"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support the role of Core Maths in promoting contextualised problem-solving within GCSE Maths</w:t>
                            </w:r>
                          </w:p>
                          <w:p w14:paraId="07857EC7"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share approaches to the planning and delivery of the Core Maths curriculum</w:t>
                            </w:r>
                          </w:p>
                          <w:p w14:paraId="275D5549"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apply related pedagogical approaches in their Core Maths teaching to support Covid recovery</w:t>
                            </w:r>
                          </w:p>
                          <w:p w14:paraId="429DA5D0" w14:textId="097A35DB"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understand the philosophy of Core Maths</w:t>
                            </w:r>
                          </w:p>
                          <w:p w14:paraId="5D15DC63"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develop their understanding by exploring a range of common Core Maths approaches and topics (e.g. Fermi problems, critical analysis of numbers in the media) and their use of pre-release materials.</w:t>
                            </w:r>
                          </w:p>
                          <w:p w14:paraId="45DCA2E2" w14:textId="05B71E66" w:rsidR="005943B8" w:rsidRPr="00DA1D15" w:rsidRDefault="005943B8" w:rsidP="00246719">
                            <w:pPr>
                              <w:rPr>
                                <w:rFonts w:ascii="Century Gothic" w:hAnsi="Century Gothic"/>
                                <w:b/>
                                <w:sz w:val="28"/>
                                <w:szCs w:val="28"/>
                              </w:rPr>
                            </w:pPr>
                            <w:r w:rsidRPr="00DA1D15">
                              <w:rPr>
                                <w:rFonts w:ascii="Century Gothic" w:hAnsi="Century Gothic"/>
                                <w:b/>
                                <w:sz w:val="28"/>
                                <w:szCs w:val="28"/>
                              </w:rPr>
                              <w:t xml:space="preserve">What </w:t>
                            </w:r>
                            <w:r w:rsidR="000F7E46">
                              <w:rPr>
                                <w:rFonts w:ascii="Century Gothic" w:hAnsi="Century Gothic"/>
                                <w:b/>
                                <w:sz w:val="28"/>
                                <w:szCs w:val="28"/>
                              </w:rPr>
                              <w:t>is the cost?</w:t>
                            </w:r>
                          </w:p>
                          <w:p w14:paraId="58F0829B" w14:textId="0D5ED0BA" w:rsidR="000F7E46" w:rsidRPr="00E02394" w:rsidRDefault="000F7E46" w:rsidP="000F7E46">
                            <w:pPr>
                              <w:rPr>
                                <w:rFonts w:ascii="Arial" w:hAnsi="Arial"/>
                                <w:szCs w:val="20"/>
                              </w:rPr>
                            </w:pPr>
                            <w:r w:rsidRPr="00E02394">
                              <w:rPr>
                                <w:rFonts w:ascii="Arial" w:hAnsi="Arial"/>
                                <w:sz w:val="18"/>
                                <w:szCs w:val="18"/>
                              </w:rPr>
                              <w:t xml:space="preserve">The </w:t>
                            </w:r>
                            <w:r w:rsidR="00FC3999">
                              <w:rPr>
                                <w:rFonts w:ascii="Arial" w:hAnsi="Arial"/>
                                <w:sz w:val="18"/>
                                <w:szCs w:val="18"/>
                              </w:rPr>
                              <w:t>Developing Core Maths Pedagogy</w:t>
                            </w:r>
                            <w:r w:rsidRPr="00E02394">
                              <w:rPr>
                                <w:rFonts w:ascii="Arial" w:hAnsi="Arial"/>
                                <w:sz w:val="18"/>
                                <w:szCs w:val="18"/>
                              </w:rPr>
                              <w:t xml:space="preserve"> project is fully funded by the Maths Hubs Programme </w:t>
                            </w:r>
                            <w:r w:rsidR="00D46955">
                              <w:rPr>
                                <w:rFonts w:ascii="Arial" w:hAnsi="Arial"/>
                                <w:sz w:val="18"/>
                                <w:szCs w:val="18"/>
                              </w:rPr>
                              <w:t xml:space="preserve">and the AMSP </w:t>
                            </w:r>
                            <w:r w:rsidRPr="00E02394">
                              <w:rPr>
                                <w:rFonts w:ascii="Arial" w:hAnsi="Arial"/>
                                <w:sz w:val="18"/>
                                <w:szCs w:val="18"/>
                              </w:rPr>
                              <w:t>so is free to participating schools</w:t>
                            </w:r>
                            <w:r w:rsidR="008D7594">
                              <w:rPr>
                                <w:rFonts w:ascii="Arial" w:hAnsi="Arial"/>
                                <w:sz w:val="18"/>
                                <w:szCs w:val="18"/>
                              </w:rPr>
                              <w:t>/colleges</w:t>
                            </w:r>
                            <w:r w:rsidRPr="00E02394">
                              <w:rPr>
                                <w:rFonts w:ascii="Arial" w:hAnsi="Arial"/>
                                <w:sz w:val="18"/>
                                <w:szCs w:val="18"/>
                              </w:rPr>
                              <w:t>.</w:t>
                            </w:r>
                          </w:p>
                          <w:p w14:paraId="3DEE3C5F" w14:textId="77777777" w:rsidR="005943B8" w:rsidRPr="00DA1D15" w:rsidRDefault="005943B8" w:rsidP="005943B8">
                            <w:pPr>
                              <w:rPr>
                                <w:rFonts w:ascii="Arial" w:hAnsi="Arial"/>
                                <w:sz w:val="16"/>
                                <w:szCs w:val="16"/>
                              </w:rPr>
                            </w:pPr>
                          </w:p>
                          <w:p w14:paraId="778ED04A" w14:textId="77777777" w:rsidR="005943B8" w:rsidRPr="00862A4C" w:rsidRDefault="005943B8" w:rsidP="005943B8">
                            <w:pPr>
                              <w:pStyle w:val="Heading1"/>
                              <w:rPr>
                                <w:sz w:val="3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565C" id="_x0000_s1031" type="#_x0000_t202" style="position:absolute;margin-left:351.85pt;margin-top:23.65pt;width:183.3pt;height:615.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" filled="f" stroked="f">
                <v:textbox>
                  <w:txbxContent>
                    <w:p w14:paraId="67B9E936" w14:textId="638C1AF5" w:rsidR="005943B8" w:rsidRPr="00DA1D15" w:rsidRDefault="004F67D0" w:rsidP="005943B8">
                      <w:pPr>
                        <w:rPr>
                          <w:rFonts w:ascii="Century Gothic" w:hAnsi="Century Gothic"/>
                          <w:b/>
                          <w:sz w:val="28"/>
                          <w:szCs w:val="28"/>
                        </w:rPr>
                      </w:pPr>
                      <w:r>
                        <w:rPr>
                          <w:rFonts w:ascii="Century Gothic" w:hAnsi="Century Gothic"/>
                          <w:b/>
                          <w:sz w:val="28"/>
                          <w:szCs w:val="28"/>
                        </w:rPr>
                        <w:t>What are the benefits?</w:t>
                      </w:r>
                    </w:p>
                    <w:p w14:paraId="30773C1D" w14:textId="77777777" w:rsidR="00246719" w:rsidRPr="00246719" w:rsidRDefault="00246719" w:rsidP="00246719">
                      <w:pPr>
                        <w:rPr>
                          <w:rFonts w:ascii="Arial" w:hAnsi="Arial"/>
                          <w:sz w:val="18"/>
                          <w:szCs w:val="18"/>
                        </w:rPr>
                      </w:pPr>
                      <w:r w:rsidRPr="00246719">
                        <w:rPr>
                          <w:rFonts w:ascii="Arial" w:hAnsi="Arial"/>
                          <w:sz w:val="18"/>
                          <w:szCs w:val="18"/>
                        </w:rPr>
                        <w:t>Participants and their departments will:</w:t>
                      </w:r>
                    </w:p>
                    <w:p w14:paraId="6949F0CF"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disseminate information or lead professional development on Core Maths pedagogy with their departments</w:t>
                      </w:r>
                    </w:p>
                    <w:p w14:paraId="5391480A"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support the role of Core Maths in promoting contextualised problem-solving within GCSE Maths</w:t>
                      </w:r>
                    </w:p>
                    <w:p w14:paraId="07857EC7"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share approaches to the planning and delivery of the Core Maths curriculum</w:t>
                      </w:r>
                    </w:p>
                    <w:p w14:paraId="275D5549"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apply related pedagogical approaches in their Core Maths teaching to support Covid recovery</w:t>
                      </w:r>
                    </w:p>
                    <w:p w14:paraId="429DA5D0" w14:textId="097A35DB"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understand the philosophy of Core Maths</w:t>
                      </w:r>
                    </w:p>
                    <w:p w14:paraId="5D15DC63" w14:textId="77777777" w:rsidR="00246719" w:rsidRPr="00246719" w:rsidRDefault="00246719" w:rsidP="00FC3999">
                      <w:pPr>
                        <w:pStyle w:val="ListParagraph"/>
                        <w:numPr>
                          <w:ilvl w:val="0"/>
                          <w:numId w:val="23"/>
                        </w:numPr>
                        <w:spacing w:before="0"/>
                        <w:ind w:left="142" w:hanging="284"/>
                        <w:rPr>
                          <w:rFonts w:ascii="Arial" w:hAnsi="Arial"/>
                          <w:sz w:val="18"/>
                          <w:szCs w:val="18"/>
                        </w:rPr>
                      </w:pPr>
                      <w:r w:rsidRPr="00246719">
                        <w:rPr>
                          <w:rFonts w:ascii="Arial" w:hAnsi="Arial"/>
                          <w:sz w:val="18"/>
                          <w:szCs w:val="18"/>
                        </w:rPr>
                        <w:t>develop their understanding by exploring a range of common Core Maths approaches and topics (e.g. Fermi problems, critical analysis of numbers in the media) and their use of pre-release materials.</w:t>
                      </w:r>
                    </w:p>
                    <w:p w14:paraId="45DCA2E2" w14:textId="05B71E66" w:rsidR="005943B8" w:rsidRPr="00DA1D15" w:rsidRDefault="005943B8" w:rsidP="00246719">
                      <w:pPr>
                        <w:rPr>
                          <w:rFonts w:ascii="Century Gothic" w:hAnsi="Century Gothic"/>
                          <w:b/>
                          <w:sz w:val="28"/>
                          <w:szCs w:val="28"/>
                        </w:rPr>
                      </w:pPr>
                      <w:r w:rsidRPr="00DA1D15">
                        <w:rPr>
                          <w:rFonts w:ascii="Century Gothic" w:hAnsi="Century Gothic"/>
                          <w:b/>
                          <w:sz w:val="28"/>
                          <w:szCs w:val="28"/>
                        </w:rPr>
                        <w:t xml:space="preserve">What </w:t>
                      </w:r>
                      <w:r w:rsidR="000F7E46">
                        <w:rPr>
                          <w:rFonts w:ascii="Century Gothic" w:hAnsi="Century Gothic"/>
                          <w:b/>
                          <w:sz w:val="28"/>
                          <w:szCs w:val="28"/>
                        </w:rPr>
                        <w:t>is the cost?</w:t>
                      </w:r>
                    </w:p>
                    <w:p w14:paraId="58F0829B" w14:textId="0D5ED0BA" w:rsidR="000F7E46" w:rsidRPr="00E02394" w:rsidRDefault="000F7E46" w:rsidP="000F7E46">
                      <w:pPr>
                        <w:rPr>
                          <w:rFonts w:ascii="Arial" w:hAnsi="Arial"/>
                          <w:szCs w:val="20"/>
                        </w:rPr>
                      </w:pPr>
                      <w:r w:rsidRPr="00E02394">
                        <w:rPr>
                          <w:rFonts w:ascii="Arial" w:hAnsi="Arial"/>
                          <w:sz w:val="18"/>
                          <w:szCs w:val="18"/>
                        </w:rPr>
                        <w:t xml:space="preserve">The </w:t>
                      </w:r>
                      <w:r w:rsidR="00FC3999">
                        <w:rPr>
                          <w:rFonts w:ascii="Arial" w:hAnsi="Arial"/>
                          <w:sz w:val="18"/>
                          <w:szCs w:val="18"/>
                        </w:rPr>
                        <w:t>Developing Core Maths Pedagogy</w:t>
                      </w:r>
                      <w:r w:rsidRPr="00E02394">
                        <w:rPr>
                          <w:rFonts w:ascii="Arial" w:hAnsi="Arial"/>
                          <w:sz w:val="18"/>
                          <w:szCs w:val="18"/>
                        </w:rPr>
                        <w:t xml:space="preserve"> project is fully funded by the Maths Hubs Programme </w:t>
                      </w:r>
                      <w:r w:rsidR="00D46955">
                        <w:rPr>
                          <w:rFonts w:ascii="Arial" w:hAnsi="Arial"/>
                          <w:sz w:val="18"/>
                          <w:szCs w:val="18"/>
                        </w:rPr>
                        <w:t xml:space="preserve">and the AMSP </w:t>
                      </w:r>
                      <w:r w:rsidRPr="00E02394">
                        <w:rPr>
                          <w:rFonts w:ascii="Arial" w:hAnsi="Arial"/>
                          <w:sz w:val="18"/>
                          <w:szCs w:val="18"/>
                        </w:rPr>
                        <w:t>so is free to participating schools</w:t>
                      </w:r>
                      <w:r w:rsidR="008D7594">
                        <w:rPr>
                          <w:rFonts w:ascii="Arial" w:hAnsi="Arial"/>
                          <w:sz w:val="18"/>
                          <w:szCs w:val="18"/>
                        </w:rPr>
                        <w:t>/colleges</w:t>
                      </w:r>
                      <w:r w:rsidRPr="00E02394">
                        <w:rPr>
                          <w:rFonts w:ascii="Arial" w:hAnsi="Arial"/>
                          <w:sz w:val="18"/>
                          <w:szCs w:val="18"/>
                        </w:rPr>
                        <w:t>.</w:t>
                      </w:r>
                    </w:p>
                    <w:p w14:paraId="3DEE3C5F" w14:textId="77777777" w:rsidR="005943B8" w:rsidRPr="00DA1D15" w:rsidRDefault="005943B8" w:rsidP="005943B8">
                      <w:pPr>
                        <w:rPr>
                          <w:rFonts w:ascii="Arial" w:hAnsi="Arial"/>
                          <w:sz w:val="16"/>
                          <w:szCs w:val="16"/>
                        </w:rPr>
                      </w:pPr>
                    </w:p>
                    <w:p w14:paraId="778ED04A" w14:textId="77777777" w:rsidR="005943B8" w:rsidRPr="00862A4C" w:rsidRDefault="005943B8" w:rsidP="005943B8">
                      <w:pPr>
                        <w:pStyle w:val="Heading1"/>
                        <w:rPr>
                          <w:sz w:val="32"/>
                          <w:szCs w:val="20"/>
                        </w:rPr>
                      </w:pPr>
                    </w:p>
                  </w:txbxContent>
                </v:textbox>
              </v:shape>
            </w:pict>
          </mc:Fallback>
        </mc:AlternateContent>
      </w:r>
    </w:p>
    <w:p w14:paraId="477DC375" w14:textId="32B6E8E2" w:rsidR="00984AF9" w:rsidRDefault="00E52550" w:rsidP="006C6C4E">
      <w:pPr>
        <w:rPr>
          <w:bCs w:val="0"/>
        </w:rPr>
      </w:pPr>
      <w:r>
        <w:rPr>
          <w:noProof/>
        </w:rPr>
        <mc:AlternateContent>
          <mc:Choice Requires="wps">
            <w:drawing>
              <wp:anchor distT="45720" distB="45720" distL="114300" distR="114300" simplePos="0" relativeHeight="251663360" behindDoc="0" locked="0" layoutInCell="1" allowOverlap="1" wp14:anchorId="27FA7F17" wp14:editId="26F1C1D9">
                <wp:simplePos x="0" y="0"/>
                <wp:positionH relativeFrom="column">
                  <wp:posOffset>-357505</wp:posOffset>
                </wp:positionH>
                <wp:positionV relativeFrom="paragraph">
                  <wp:posOffset>342265</wp:posOffset>
                </wp:positionV>
                <wp:extent cx="2042160" cy="617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17220"/>
                        </a:xfrm>
                        <a:prstGeom prst="rect">
                          <a:avLst/>
                        </a:prstGeom>
                        <a:noFill/>
                        <a:ln w="9525">
                          <a:noFill/>
                          <a:miter lim="800000"/>
                          <a:headEnd/>
                          <a:tailEnd/>
                        </a:ln>
                      </wps:spPr>
                      <wps:txbx>
                        <w:txbxContent>
                          <w:p w14:paraId="774F915F" w14:textId="11F2936E" w:rsidR="00E52550" w:rsidRPr="00E52550" w:rsidRDefault="00E52550" w:rsidP="00E52550">
                            <w:pPr>
                              <w:rPr>
                                <w:rFonts w:ascii="Century Gothic" w:hAnsi="Century Gothic"/>
                                <w:b/>
                                <w:bCs w:val="0"/>
                                <w:color w:val="FFFFFF" w:themeColor="background1"/>
                                <w:sz w:val="42"/>
                                <w:szCs w:val="42"/>
                              </w:rPr>
                            </w:pPr>
                            <w:r>
                              <w:rPr>
                                <w:rFonts w:ascii="Century Gothic" w:hAnsi="Century Gothic"/>
                                <w:b/>
                                <w:bCs w:val="0"/>
                                <w:color w:val="FFFFFF" w:themeColor="background1"/>
                                <w:sz w:val="42"/>
                                <w:szCs w:val="42"/>
                              </w:rPr>
                              <w:t>NCP21-</w:t>
                            </w:r>
                            <w:r w:rsidR="00766450">
                              <w:rPr>
                                <w:rFonts w:ascii="Century Gothic" w:hAnsi="Century Gothic"/>
                                <w:b/>
                                <w:bCs w:val="0"/>
                                <w:color w:val="FFFFFF" w:themeColor="background1"/>
                                <w:sz w:val="42"/>
                                <w:szCs w:val="42"/>
                              </w:rPr>
                              <w:t>2</w:t>
                            </w:r>
                            <w:r w:rsidR="00D36F27">
                              <w:rPr>
                                <w:rFonts w:ascii="Century Gothic" w:hAnsi="Century Gothic"/>
                                <w:b/>
                                <w:bCs w:val="0"/>
                                <w:color w:val="FFFFFF" w:themeColor="background1"/>
                                <w:sz w:val="42"/>
                                <w:szCs w:val="4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7F17" id="_x0000_s1032" type="#_x0000_t202" style="position:absolute;margin-left:-28.15pt;margin-top:26.95pt;width:160.8pt;height:48.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" filled="f" stroked="f">
                <v:textbox>
                  <w:txbxContent>
                    <w:p w14:paraId="774F915F" w14:textId="11F2936E" w:rsidR="00E52550" w:rsidRPr="00E52550" w:rsidRDefault="00E52550" w:rsidP="00E52550">
                      <w:pPr>
                        <w:rPr>
                          <w:rFonts w:ascii="Century Gothic" w:hAnsi="Century Gothic"/>
                          <w:b/>
                          <w:bCs w:val="0"/>
                          <w:color w:val="FFFFFF" w:themeColor="background1"/>
                          <w:sz w:val="42"/>
                          <w:szCs w:val="42"/>
                        </w:rPr>
                      </w:pPr>
                      <w:r>
                        <w:rPr>
                          <w:rFonts w:ascii="Century Gothic" w:hAnsi="Century Gothic"/>
                          <w:b/>
                          <w:bCs w:val="0"/>
                          <w:color w:val="FFFFFF" w:themeColor="background1"/>
                          <w:sz w:val="42"/>
                          <w:szCs w:val="42"/>
                        </w:rPr>
                        <w:t>NCP21-</w:t>
                      </w:r>
                      <w:r w:rsidR="00766450">
                        <w:rPr>
                          <w:rFonts w:ascii="Century Gothic" w:hAnsi="Century Gothic"/>
                          <w:b/>
                          <w:bCs w:val="0"/>
                          <w:color w:val="FFFFFF" w:themeColor="background1"/>
                          <w:sz w:val="42"/>
                          <w:szCs w:val="42"/>
                        </w:rPr>
                        <w:t>2</w:t>
                      </w:r>
                      <w:r w:rsidR="00D36F27">
                        <w:rPr>
                          <w:rFonts w:ascii="Century Gothic" w:hAnsi="Century Gothic"/>
                          <w:b/>
                          <w:bCs w:val="0"/>
                          <w:color w:val="FFFFFF" w:themeColor="background1"/>
                          <w:sz w:val="42"/>
                          <w:szCs w:val="42"/>
                        </w:rPr>
                        <w:t>2</w:t>
                      </w:r>
                    </w:p>
                  </w:txbxContent>
                </v:textbox>
              </v:shape>
            </w:pict>
          </mc:Fallback>
        </mc:AlternateContent>
      </w:r>
    </w:p>
    <w:p w14:paraId="6F7315FE" w14:textId="5518C7D4" w:rsidR="00984AF9" w:rsidRDefault="00984AF9" w:rsidP="006C6C4E">
      <w:pPr>
        <w:rPr>
          <w:bCs w:val="0"/>
        </w:rPr>
      </w:pPr>
    </w:p>
    <w:p w14:paraId="30C0AB7C" w14:textId="21CA1447" w:rsidR="00984AF9" w:rsidRDefault="00984AF9" w:rsidP="006C6C4E">
      <w:pPr>
        <w:rPr>
          <w:bCs w:val="0"/>
        </w:rPr>
      </w:pPr>
    </w:p>
    <w:p w14:paraId="37C9CDCA" w14:textId="29924543" w:rsidR="00984AF9" w:rsidRDefault="00984AF9" w:rsidP="006C6C4E">
      <w:pPr>
        <w:rPr>
          <w:bCs w:val="0"/>
        </w:rPr>
      </w:pPr>
    </w:p>
    <w:p w14:paraId="19F718FB" w14:textId="01C08F1A" w:rsidR="00984AF9" w:rsidRDefault="00984AF9" w:rsidP="006C6C4E">
      <w:pPr>
        <w:rPr>
          <w:bCs w:val="0"/>
        </w:rPr>
      </w:pPr>
    </w:p>
    <w:p w14:paraId="2E431355" w14:textId="7A90F96A" w:rsidR="00984AF9" w:rsidRDefault="00984AF9" w:rsidP="006C6C4E">
      <w:pPr>
        <w:rPr>
          <w:bCs w:val="0"/>
        </w:rPr>
      </w:pPr>
    </w:p>
    <w:p w14:paraId="422CC740" w14:textId="6C7FE839" w:rsidR="00984AF9" w:rsidRDefault="00984AF9" w:rsidP="006C6C4E">
      <w:pPr>
        <w:rPr>
          <w:bCs w:val="0"/>
        </w:rPr>
      </w:pPr>
    </w:p>
    <w:p w14:paraId="462A17D8" w14:textId="7E6C58A7" w:rsidR="00984AF9" w:rsidRDefault="00984AF9" w:rsidP="006C6C4E">
      <w:pPr>
        <w:rPr>
          <w:bCs w:val="0"/>
        </w:rPr>
      </w:pPr>
    </w:p>
    <w:p w14:paraId="034A75F9" w14:textId="49B86B26" w:rsidR="00984AF9" w:rsidRDefault="00984AF9" w:rsidP="006C6C4E">
      <w:pPr>
        <w:rPr>
          <w:bCs w:val="0"/>
        </w:rPr>
      </w:pPr>
    </w:p>
    <w:p w14:paraId="3E652AF3" w14:textId="3510CAD5" w:rsidR="00217065" w:rsidRDefault="00217065" w:rsidP="00217065">
      <w:pPr>
        <w:tabs>
          <w:tab w:val="left" w:pos="3690"/>
        </w:tabs>
      </w:pPr>
    </w:p>
    <w:p w14:paraId="099C0643" w14:textId="41A8F675" w:rsidR="00B1542E" w:rsidRDefault="00B1542E" w:rsidP="00217065">
      <w:pPr>
        <w:tabs>
          <w:tab w:val="left" w:pos="3690"/>
        </w:tabs>
      </w:pPr>
    </w:p>
    <w:p w14:paraId="0E004303" w14:textId="623DA6C4" w:rsidR="007C2FFF" w:rsidRDefault="007C2FFF" w:rsidP="00217065">
      <w:pPr>
        <w:tabs>
          <w:tab w:val="left" w:pos="3690"/>
        </w:tabs>
      </w:pPr>
    </w:p>
    <w:p w14:paraId="7233AB28" w14:textId="77777777" w:rsidR="007C2FFF" w:rsidRDefault="007C2FFF">
      <w:pPr>
        <w:spacing w:before="0" w:line="240" w:lineRule="auto"/>
      </w:pPr>
      <w:r>
        <w:br w:type="page"/>
      </w:r>
    </w:p>
    <w:tbl>
      <w:tblPr>
        <w:tblStyle w:val="TableGrid"/>
        <w:tblpPr w:leftFromText="180" w:rightFromText="180" w:vertAnchor="text" w:horzAnchor="margin" w:tblpXSpec="center" w:tblpY="3617"/>
        <w:tblW w:w="10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4"/>
      </w:tblGrid>
      <w:tr w:rsidR="00A11035" w14:paraId="4D14D6DC" w14:textId="77777777" w:rsidTr="00124764">
        <w:trPr>
          <w:trHeight w:val="6249"/>
        </w:trPr>
        <w:tc>
          <w:tcPr>
            <w:tcW w:w="10924" w:type="dxa"/>
          </w:tcPr>
          <w:p w14:paraId="143D7501" w14:textId="5AB66E39" w:rsidR="00730C3F" w:rsidRDefault="00730C3F" w:rsidP="00A11035">
            <w:pPr>
              <w:spacing w:before="20" w:line="240" w:lineRule="auto"/>
              <w:rPr>
                <w:rFonts w:ascii="Arial" w:hAnsi="Arial" w:cs="Arial"/>
                <w:color w:val="595959"/>
                <w:sz w:val="22"/>
              </w:rPr>
            </w:pPr>
            <w:r w:rsidRPr="00131328">
              <w:rPr>
                <w:rFonts w:ascii="Arial" w:hAnsi="Arial" w:cs="Arial"/>
                <w:color w:val="595959"/>
                <w:sz w:val="22"/>
              </w:rPr>
              <w:lastRenderedPageBreak/>
              <w:t>Details of what a Work Group is</w:t>
            </w:r>
          </w:p>
          <w:p w14:paraId="23AF7260" w14:textId="381DB6A8" w:rsidR="00802C7B" w:rsidRDefault="00802C7B" w:rsidP="00A11035">
            <w:pPr>
              <w:spacing w:before="20" w:line="240" w:lineRule="auto"/>
              <w:rPr>
                <w:rFonts w:ascii="Arial" w:hAnsi="Arial"/>
                <w:sz w:val="18"/>
                <w:szCs w:val="18"/>
              </w:rPr>
            </w:pPr>
            <w:r>
              <w:rPr>
                <w:rFonts w:ascii="Arial" w:hAnsi="Arial"/>
                <w:sz w:val="18"/>
                <w:szCs w:val="18"/>
              </w:rPr>
              <w:t>A Work Group is a network in which one or two lead participant teachers represent a school or maths department at termly or half-termly meetings. Between meetings, participants keep in touch, compare notes and complete gap tasks linked to teachers’ professional learning, teachers’ practice development, improving student development or improving the maths teaching across a department.</w:t>
            </w:r>
          </w:p>
          <w:p w14:paraId="66F5179B" w14:textId="41034413" w:rsidR="00802C7B" w:rsidRDefault="00802C7B" w:rsidP="00A11035">
            <w:pPr>
              <w:spacing w:before="20" w:line="240" w:lineRule="auto"/>
              <w:rPr>
                <w:rFonts w:ascii="Arial" w:hAnsi="Arial" w:cs="Arial"/>
                <w:color w:val="595959"/>
                <w:sz w:val="22"/>
              </w:rPr>
            </w:pPr>
          </w:p>
          <w:p w14:paraId="355763E5" w14:textId="74A01D9B" w:rsidR="00802C7B" w:rsidRDefault="00802C7B" w:rsidP="00A11035">
            <w:pPr>
              <w:spacing w:before="20" w:line="240" w:lineRule="auto"/>
              <w:rPr>
                <w:rFonts w:ascii="Arial" w:hAnsi="Arial" w:cs="Arial"/>
                <w:color w:val="595959"/>
                <w:sz w:val="22"/>
              </w:rPr>
            </w:pPr>
          </w:p>
          <w:p w14:paraId="3D9CC635" w14:textId="77777777" w:rsidR="00802C7B" w:rsidRDefault="00802C7B" w:rsidP="00A11035">
            <w:pPr>
              <w:spacing w:before="20" w:line="240" w:lineRule="auto"/>
              <w:rPr>
                <w:rFonts w:ascii="Arial" w:hAnsi="Arial" w:cs="Arial"/>
                <w:color w:val="595959"/>
                <w:sz w:val="22"/>
              </w:rPr>
            </w:pPr>
          </w:p>
          <w:p w14:paraId="7FC86320" w14:textId="229EE532" w:rsidR="00730C3F" w:rsidRPr="00131328" w:rsidRDefault="00730C3F" w:rsidP="00124764">
            <w:pPr>
              <w:spacing w:before="20" w:line="240" w:lineRule="auto"/>
              <w:rPr>
                <w:rFonts w:ascii="Arial" w:hAnsi="Arial" w:cs="Arial"/>
                <w:color w:val="595959"/>
                <w:sz w:val="22"/>
              </w:rPr>
            </w:pPr>
            <w:r w:rsidRPr="00131328">
              <w:rPr>
                <w:rFonts w:ascii="Arial" w:hAnsi="Arial" w:cs="Arial"/>
                <w:color w:val="595959"/>
                <w:sz w:val="22"/>
              </w:rPr>
              <w:t>Work Group locations/dates</w:t>
            </w:r>
            <w:r w:rsidR="00173A6B">
              <w:rPr>
                <w:rFonts w:ascii="Arial" w:hAnsi="Arial" w:cs="Arial"/>
                <w:color w:val="595959"/>
                <w:sz w:val="22"/>
              </w:rPr>
              <w:t xml:space="preserve"> </w:t>
            </w:r>
          </w:p>
          <w:p w14:paraId="04233FE9" w14:textId="66F192CE" w:rsidR="000356E2" w:rsidRDefault="00173A6B" w:rsidP="00124764">
            <w:pPr>
              <w:spacing w:before="20" w:line="240" w:lineRule="auto"/>
              <w:rPr>
                <w:rFonts w:ascii="Arial" w:hAnsi="Arial"/>
                <w:sz w:val="18"/>
                <w:szCs w:val="18"/>
              </w:rPr>
            </w:pPr>
            <w:r>
              <w:rPr>
                <w:rFonts w:ascii="Arial" w:hAnsi="Arial"/>
                <w:sz w:val="18"/>
                <w:szCs w:val="18"/>
              </w:rPr>
              <w:t xml:space="preserve">Dates </w:t>
            </w:r>
            <w:r w:rsidR="00802C7B">
              <w:rPr>
                <w:rFonts w:ascii="Arial" w:hAnsi="Arial"/>
                <w:sz w:val="18"/>
                <w:szCs w:val="18"/>
              </w:rPr>
              <w:t xml:space="preserve">are to be decided </w:t>
            </w:r>
            <w:r>
              <w:rPr>
                <w:rFonts w:ascii="Arial" w:hAnsi="Arial"/>
                <w:sz w:val="18"/>
                <w:szCs w:val="18"/>
              </w:rPr>
              <w:t>by</w:t>
            </w:r>
            <w:r w:rsidR="00802C7B">
              <w:rPr>
                <w:rFonts w:ascii="Arial" w:hAnsi="Arial"/>
                <w:sz w:val="18"/>
                <w:szCs w:val="18"/>
              </w:rPr>
              <w:t xml:space="preserve"> Work Group</w:t>
            </w:r>
            <w:r>
              <w:rPr>
                <w:rFonts w:ascii="Arial" w:hAnsi="Arial"/>
                <w:sz w:val="18"/>
                <w:szCs w:val="18"/>
              </w:rPr>
              <w:t xml:space="preserve"> participants following an initial meeting in November 2021</w:t>
            </w:r>
            <w:r w:rsidR="00802C7B">
              <w:rPr>
                <w:rFonts w:ascii="Arial" w:hAnsi="Arial"/>
                <w:sz w:val="18"/>
                <w:szCs w:val="18"/>
              </w:rPr>
              <w:t>.</w:t>
            </w:r>
          </w:p>
          <w:p w14:paraId="4BFB6F54" w14:textId="71F31D5C" w:rsidR="000356E2" w:rsidRDefault="000356E2" w:rsidP="00124764">
            <w:pPr>
              <w:spacing w:before="20" w:line="240" w:lineRule="auto"/>
              <w:rPr>
                <w:rFonts w:ascii="Arial" w:hAnsi="Arial"/>
                <w:sz w:val="18"/>
                <w:szCs w:val="18"/>
              </w:rPr>
            </w:pPr>
            <w:r>
              <w:rPr>
                <w:rFonts w:ascii="Arial" w:hAnsi="Arial"/>
                <w:sz w:val="18"/>
                <w:szCs w:val="18"/>
              </w:rPr>
              <w:t>Work Group meetings are held online.</w:t>
            </w:r>
          </w:p>
          <w:p w14:paraId="4738EC51" w14:textId="426CC5AE" w:rsidR="00802C7B" w:rsidRDefault="00802C7B" w:rsidP="00124764">
            <w:pPr>
              <w:spacing w:before="20" w:line="240" w:lineRule="auto"/>
              <w:rPr>
                <w:rFonts w:ascii="Arial" w:hAnsi="Arial" w:cs="Arial"/>
                <w:b w:val="0"/>
                <w:bCs/>
                <w:color w:val="595959"/>
                <w:sz w:val="18"/>
                <w:szCs w:val="18"/>
              </w:rPr>
            </w:pPr>
          </w:p>
          <w:p w14:paraId="61E889A9" w14:textId="30F6165A" w:rsidR="00802C7B" w:rsidRDefault="00802C7B" w:rsidP="00124764">
            <w:pPr>
              <w:spacing w:before="20" w:line="240" w:lineRule="auto"/>
              <w:rPr>
                <w:rFonts w:ascii="Arial" w:hAnsi="Arial" w:cs="Arial"/>
                <w:b w:val="0"/>
                <w:bCs/>
                <w:color w:val="595959"/>
                <w:sz w:val="18"/>
                <w:szCs w:val="18"/>
              </w:rPr>
            </w:pPr>
          </w:p>
          <w:p w14:paraId="6BC43B22" w14:textId="77777777" w:rsidR="00802C7B" w:rsidRPr="00131328" w:rsidRDefault="00802C7B" w:rsidP="00124764">
            <w:pPr>
              <w:spacing w:before="20" w:line="240" w:lineRule="auto"/>
              <w:rPr>
                <w:rFonts w:ascii="Arial" w:hAnsi="Arial" w:cs="Arial"/>
                <w:b w:val="0"/>
                <w:bCs/>
                <w:color w:val="595959"/>
                <w:sz w:val="18"/>
                <w:szCs w:val="18"/>
              </w:rPr>
            </w:pPr>
          </w:p>
          <w:p w14:paraId="33D3B790" w14:textId="68300923" w:rsidR="00730C3F" w:rsidRPr="00131328" w:rsidRDefault="00730C3F" w:rsidP="00124764">
            <w:pPr>
              <w:spacing w:before="20" w:line="240" w:lineRule="auto"/>
              <w:rPr>
                <w:rFonts w:ascii="Arial" w:hAnsi="Arial" w:cs="Arial"/>
                <w:color w:val="595959"/>
                <w:sz w:val="22"/>
              </w:rPr>
            </w:pPr>
            <w:r w:rsidRPr="00131328">
              <w:rPr>
                <w:rFonts w:ascii="Arial" w:hAnsi="Arial" w:cs="Arial"/>
                <w:color w:val="595959"/>
                <w:sz w:val="22"/>
              </w:rPr>
              <w:t>Work Group Lead information</w:t>
            </w:r>
          </w:p>
          <w:p w14:paraId="5C35D1FF" w14:textId="6DCEB810" w:rsidR="00730C3F" w:rsidRDefault="00173A6B" w:rsidP="00124764">
            <w:pPr>
              <w:spacing w:before="20" w:line="240" w:lineRule="auto"/>
              <w:rPr>
                <w:rFonts w:ascii="Arial" w:hAnsi="Arial"/>
                <w:sz w:val="18"/>
                <w:szCs w:val="18"/>
              </w:rPr>
            </w:pPr>
            <w:r>
              <w:rPr>
                <w:rFonts w:ascii="Arial" w:hAnsi="Arial"/>
                <w:sz w:val="18"/>
                <w:szCs w:val="18"/>
              </w:rPr>
              <w:t>Martin Bamber of the AMSP has three years of experience as a Developing Core Maths Pedagogy Work Group Lead</w:t>
            </w:r>
            <w:r w:rsidR="00802C7B">
              <w:rPr>
                <w:rFonts w:ascii="Arial" w:hAnsi="Arial"/>
                <w:sz w:val="18"/>
                <w:szCs w:val="18"/>
              </w:rPr>
              <w:t>.</w:t>
            </w:r>
          </w:p>
          <w:p w14:paraId="2E783972" w14:textId="77777777" w:rsidR="00802C7B" w:rsidRPr="00131328" w:rsidRDefault="00802C7B" w:rsidP="00124764">
            <w:pPr>
              <w:spacing w:before="20" w:line="240" w:lineRule="auto"/>
              <w:rPr>
                <w:rFonts w:ascii="Arial" w:hAnsi="Arial" w:cs="Arial"/>
                <w:b w:val="0"/>
                <w:bCs/>
                <w:color w:val="595959"/>
                <w:sz w:val="18"/>
                <w:szCs w:val="18"/>
              </w:rPr>
            </w:pPr>
          </w:p>
          <w:p w14:paraId="3E7A5150" w14:textId="62AEF790" w:rsidR="00622305" w:rsidRDefault="00622305" w:rsidP="00124764">
            <w:pPr>
              <w:spacing w:before="20" w:line="240" w:lineRule="auto"/>
              <w:rPr>
                <w:rFonts w:ascii="Arial" w:hAnsi="Arial" w:cs="Arial"/>
                <w:color w:val="595959"/>
                <w:sz w:val="22"/>
              </w:rPr>
            </w:pPr>
          </w:p>
          <w:p w14:paraId="783667A8" w14:textId="7EBD58C4" w:rsidR="00802C7B" w:rsidRDefault="00802C7B" w:rsidP="00124764">
            <w:pPr>
              <w:spacing w:before="20" w:line="240" w:lineRule="auto"/>
              <w:rPr>
                <w:rFonts w:ascii="Arial" w:hAnsi="Arial" w:cs="Arial"/>
                <w:b w:val="0"/>
                <w:bCs/>
                <w:i/>
                <w:iCs/>
                <w:color w:val="595959"/>
                <w:sz w:val="18"/>
                <w:szCs w:val="18"/>
              </w:rPr>
            </w:pPr>
          </w:p>
          <w:p w14:paraId="6B65C264" w14:textId="77777777" w:rsidR="00622305" w:rsidRDefault="00622305" w:rsidP="00124764">
            <w:pPr>
              <w:spacing w:before="20" w:line="240" w:lineRule="auto"/>
              <w:rPr>
                <w:rFonts w:ascii="Arial" w:hAnsi="Arial" w:cs="Arial"/>
                <w:b w:val="0"/>
                <w:bCs/>
                <w:i/>
                <w:iCs/>
                <w:color w:val="595959"/>
                <w:sz w:val="18"/>
                <w:szCs w:val="18"/>
              </w:rPr>
            </w:pPr>
          </w:p>
          <w:p w14:paraId="60DE594D" w14:textId="303D195D" w:rsidR="00622305" w:rsidRPr="00131328" w:rsidRDefault="00622305" w:rsidP="00124764">
            <w:pPr>
              <w:spacing w:before="20" w:line="240" w:lineRule="auto"/>
              <w:rPr>
                <w:rFonts w:ascii="Arial" w:hAnsi="Arial" w:cs="Arial"/>
                <w:b w:val="0"/>
                <w:bCs/>
                <w:i/>
                <w:iCs/>
                <w:color w:val="595959"/>
                <w:sz w:val="18"/>
                <w:szCs w:val="18"/>
              </w:rPr>
            </w:pPr>
            <w:r>
              <w:rPr>
                <w:noProof/>
              </w:rPr>
              <w:drawing>
                <wp:inline distT="0" distB="0" distL="0" distR="0" wp14:anchorId="4466202B" wp14:editId="7DAC9F39">
                  <wp:extent cx="2688570" cy="842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749" cy="894728"/>
                          </a:xfrm>
                          <a:prstGeom prst="rect">
                            <a:avLst/>
                          </a:prstGeom>
                          <a:noFill/>
                          <a:ln>
                            <a:noFill/>
                          </a:ln>
                        </pic:spPr>
                      </pic:pic>
                    </a:graphicData>
                  </a:graphic>
                </wp:inline>
              </w:drawing>
            </w:r>
          </w:p>
        </w:tc>
      </w:tr>
    </w:tbl>
    <w:p w14:paraId="63BCEF85" w14:textId="4200881D" w:rsidR="00B1542E" w:rsidRPr="00217065" w:rsidRDefault="00C52351" w:rsidP="00217065">
      <w:pPr>
        <w:tabs>
          <w:tab w:val="left" w:pos="3690"/>
        </w:tabs>
      </w:pPr>
      <w:r>
        <w:rPr>
          <w:noProof/>
        </w:rPr>
        <mc:AlternateContent>
          <mc:Choice Requires="wps">
            <w:drawing>
              <wp:anchor distT="45720" distB="45720" distL="114300" distR="114300" simplePos="0" relativeHeight="251662336" behindDoc="0" locked="0" layoutInCell="1" allowOverlap="1" wp14:anchorId="335B71AA" wp14:editId="3184A623">
                <wp:simplePos x="0" y="0"/>
                <wp:positionH relativeFrom="column">
                  <wp:posOffset>-264795</wp:posOffset>
                </wp:positionH>
                <wp:positionV relativeFrom="paragraph">
                  <wp:posOffset>1809437</wp:posOffset>
                </wp:positionV>
                <wp:extent cx="7037070" cy="3543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070" cy="354330"/>
                        </a:xfrm>
                        <a:prstGeom prst="rect">
                          <a:avLst/>
                        </a:prstGeom>
                        <a:noFill/>
                        <a:ln w="9525">
                          <a:noFill/>
                          <a:miter lim="800000"/>
                          <a:headEnd/>
                          <a:tailEnd/>
                        </a:ln>
                      </wps:spPr>
                      <wps:txbx>
                        <w:txbxContent>
                          <w:p w14:paraId="49702A54" w14:textId="512DA4E3" w:rsidR="000B0F95" w:rsidRPr="0005775B" w:rsidRDefault="000B0F95" w:rsidP="000B0F95">
                            <w:pPr>
                              <w:pStyle w:val="Heading1"/>
                              <w:rPr>
                                <w:color w:val="FFFFFF" w:themeColor="background1"/>
                                <w:sz w:val="32"/>
                                <w:szCs w:val="20"/>
                              </w:rPr>
                            </w:pPr>
                            <w:r>
                              <w:rPr>
                                <w:color w:val="FFFFFF" w:themeColor="background1"/>
                                <w:sz w:val="32"/>
                                <w:szCs w:val="20"/>
                              </w:rPr>
                              <w:t>About the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B71AA" id="_x0000_s1033" type="#_x0000_t202" style="position:absolute;margin-left:-20.85pt;margin-top:142.5pt;width:554.1pt;height:27.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" filled="f" stroked="f">
                <v:textbox>
                  <w:txbxContent>
                    <w:p w14:paraId="49702A54" w14:textId="512DA4E3" w:rsidR="000B0F95" w:rsidRPr="0005775B" w:rsidRDefault="000B0F95" w:rsidP="000B0F95">
                      <w:pPr>
                        <w:pStyle w:val="Heading1"/>
                        <w:rPr>
                          <w:color w:val="FFFFFF" w:themeColor="background1"/>
                          <w:sz w:val="32"/>
                          <w:szCs w:val="20"/>
                        </w:rPr>
                      </w:pPr>
                      <w:r>
                        <w:rPr>
                          <w:color w:val="FFFFFF" w:themeColor="background1"/>
                          <w:sz w:val="32"/>
                          <w:szCs w:val="20"/>
                        </w:rPr>
                        <w:t>About the Hub</w:t>
                      </w:r>
                    </w:p>
                  </w:txbxContent>
                </v:textbox>
              </v:shape>
            </w:pict>
          </mc:Fallback>
        </mc:AlternateContent>
      </w:r>
      <w:r w:rsidR="00A40A54">
        <w:rPr>
          <w:noProof/>
        </w:rPr>
        <w:t xml:space="preserve"> </w:t>
      </w:r>
      <w:r w:rsidR="00455A67">
        <w:rPr>
          <w:noProof/>
        </w:rPr>
        <mc:AlternateContent>
          <mc:Choice Requires="wps">
            <w:drawing>
              <wp:anchor distT="45720" distB="45720" distL="114300" distR="114300" simplePos="0" relativeHeight="251661312" behindDoc="0" locked="0" layoutInCell="1" allowOverlap="1" wp14:anchorId="2500847D" wp14:editId="52AF8A21">
                <wp:simplePos x="0" y="0"/>
                <wp:positionH relativeFrom="column">
                  <wp:posOffset>-267335</wp:posOffset>
                </wp:positionH>
                <wp:positionV relativeFrom="paragraph">
                  <wp:posOffset>866462</wp:posOffset>
                </wp:positionV>
                <wp:extent cx="7064375" cy="463550"/>
                <wp:effectExtent l="0" t="0" r="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463550"/>
                        </a:xfrm>
                        <a:prstGeom prst="rect">
                          <a:avLst/>
                        </a:prstGeom>
                        <a:noFill/>
                        <a:ln w="9525">
                          <a:noFill/>
                          <a:miter lim="800000"/>
                          <a:headEnd/>
                          <a:tailEnd/>
                        </a:ln>
                      </wps:spPr>
                      <wps:txbx>
                        <w:txbxContent>
                          <w:p w14:paraId="01FDFE59" w14:textId="0EFA1DB8" w:rsidR="00AC0FDE" w:rsidRPr="00364A21" w:rsidRDefault="00863195" w:rsidP="00863195">
                            <w:pPr>
                              <w:pStyle w:val="Heading1"/>
                              <w:rPr>
                                <w:rFonts w:ascii="Arial" w:hAnsi="Arial"/>
                                <w:b w:val="0"/>
                                <w:sz w:val="18"/>
                                <w:szCs w:val="18"/>
                              </w:rPr>
                            </w:pPr>
                            <w:r w:rsidRPr="00863195">
                              <w:rPr>
                                <w:rFonts w:ascii="Arial" w:hAnsi="Arial"/>
                                <w:b w:val="0"/>
                                <w:sz w:val="18"/>
                                <w:szCs w:val="18"/>
                              </w:rPr>
                              <w:t>Schools/colleges must be able to commit to the full academic year’s programme. This involves a total of three days of face-to-face (or equivalent) support across the academic year, as well as classroom and school-based activity. Participants must also be supported by their school/college leadership to explore outcomes from the project with other colleagues in their department.</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0847D" id="_x0000_s1034" type="#_x0000_t202" style="position:absolute;margin-left:-21.05pt;margin-top:68.25pt;width:556.25pt;height: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" filled="f" stroked="f">
                <v:textbox inset=",0,,0">
                  <w:txbxContent>
                    <w:p w14:paraId="01FDFE59" w14:textId="0EFA1DB8" w:rsidR="00AC0FDE" w:rsidRPr="00364A21" w:rsidRDefault="00863195" w:rsidP="00863195">
                      <w:pPr>
                        <w:pStyle w:val="Heading1"/>
                        <w:rPr>
                          <w:rFonts w:ascii="Arial" w:hAnsi="Arial"/>
                          <w:b w:val="0"/>
                          <w:sz w:val="18"/>
                          <w:szCs w:val="18"/>
                        </w:rPr>
                      </w:pPr>
                      <w:r w:rsidRPr="00863195">
                        <w:rPr>
                          <w:rFonts w:ascii="Arial" w:hAnsi="Arial"/>
                          <w:b w:val="0"/>
                          <w:sz w:val="18"/>
                          <w:szCs w:val="18"/>
                        </w:rPr>
                        <w:t>Schools/colleges must be able to commit to the full academic year’s programme. This involves a total of three days of face-to-face (or equivalent) support across the academic year, as well as classroom and school-based activity. Participants must also be supported by their school/college leadership to explore outcomes from the project with other colleagues in their department.</w:t>
                      </w:r>
                    </w:p>
                  </w:txbxContent>
                </v:textbox>
              </v:shape>
            </w:pict>
          </mc:Fallback>
        </mc:AlternateContent>
      </w:r>
      <w:r w:rsidR="00455A67">
        <w:rPr>
          <w:noProof/>
        </w:rPr>
        <mc:AlternateContent>
          <mc:Choice Requires="wps">
            <w:drawing>
              <wp:anchor distT="45720" distB="45720" distL="114300" distR="114300" simplePos="0" relativeHeight="251660288" behindDoc="0" locked="0" layoutInCell="1" allowOverlap="1" wp14:anchorId="6E3C619F" wp14:editId="2E425401">
                <wp:simplePos x="0" y="0"/>
                <wp:positionH relativeFrom="column">
                  <wp:posOffset>-267335</wp:posOffset>
                </wp:positionH>
                <wp:positionV relativeFrom="paragraph">
                  <wp:posOffset>470222</wp:posOffset>
                </wp:positionV>
                <wp:extent cx="7037070" cy="3543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070" cy="354330"/>
                        </a:xfrm>
                        <a:prstGeom prst="rect">
                          <a:avLst/>
                        </a:prstGeom>
                        <a:noFill/>
                        <a:ln w="9525">
                          <a:noFill/>
                          <a:miter lim="800000"/>
                          <a:headEnd/>
                          <a:tailEnd/>
                        </a:ln>
                      </wps:spPr>
                      <wps:txbx>
                        <w:txbxContent>
                          <w:p w14:paraId="47EA1CD2" w14:textId="6A1BDA16" w:rsidR="003C79B3" w:rsidRPr="0005775B" w:rsidRDefault="003C79B3" w:rsidP="003C79B3">
                            <w:pPr>
                              <w:pStyle w:val="Heading1"/>
                              <w:rPr>
                                <w:color w:val="FFFFFF" w:themeColor="background1"/>
                                <w:sz w:val="32"/>
                                <w:szCs w:val="20"/>
                              </w:rPr>
                            </w:pPr>
                            <w:r>
                              <w:rPr>
                                <w:color w:val="FFFFFF" w:themeColor="background1"/>
                                <w:sz w:val="32"/>
                                <w:szCs w:val="20"/>
                              </w:rPr>
                              <w:t>Expectations of participants and their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C619F" id="_x0000_s1035" type="#_x0000_t202" style="position:absolute;margin-left:-21.05pt;margin-top:37.05pt;width:554.1pt;height:27.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" filled="f" stroked="f">
                <v:textbox>
                  <w:txbxContent>
                    <w:p w14:paraId="47EA1CD2" w14:textId="6A1BDA16" w:rsidR="003C79B3" w:rsidRPr="0005775B" w:rsidRDefault="003C79B3" w:rsidP="003C79B3">
                      <w:pPr>
                        <w:pStyle w:val="Heading1"/>
                        <w:rPr>
                          <w:color w:val="FFFFFF" w:themeColor="background1"/>
                          <w:sz w:val="32"/>
                          <w:szCs w:val="20"/>
                        </w:rPr>
                      </w:pPr>
                      <w:r>
                        <w:rPr>
                          <w:color w:val="FFFFFF" w:themeColor="background1"/>
                          <w:sz w:val="32"/>
                          <w:szCs w:val="20"/>
                        </w:rPr>
                        <w:t>Expectations of participants and their schools</w:t>
                      </w:r>
                    </w:p>
                  </w:txbxContent>
                </v:textbox>
              </v:shape>
            </w:pict>
          </mc:Fallback>
        </mc:AlternateContent>
      </w:r>
      <w:r w:rsidR="0066240D">
        <w:rPr>
          <w:noProof/>
        </w:rPr>
        <mc:AlternateContent>
          <mc:Choice Requires="wps">
            <w:drawing>
              <wp:anchor distT="45720" distB="45720" distL="114300" distR="114300" simplePos="0" relativeHeight="251659264" behindDoc="0" locked="0" layoutInCell="1" allowOverlap="1" wp14:anchorId="03AA3E58" wp14:editId="0903A73E">
                <wp:simplePos x="0" y="0"/>
                <wp:positionH relativeFrom="column">
                  <wp:posOffset>-267430</wp:posOffset>
                </wp:positionH>
                <wp:positionV relativeFrom="paragraph">
                  <wp:posOffset>-818382</wp:posOffset>
                </wp:positionV>
                <wp:extent cx="7051040" cy="1201003"/>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040" cy="1201003"/>
                        </a:xfrm>
                        <a:prstGeom prst="rect">
                          <a:avLst/>
                        </a:prstGeom>
                        <a:noFill/>
                        <a:ln w="9525">
                          <a:noFill/>
                          <a:miter lim="800000"/>
                          <a:headEnd/>
                          <a:tailEnd/>
                        </a:ln>
                      </wps:spPr>
                      <wps:txbx>
                        <w:txbxContent>
                          <w:p w14:paraId="70BEE526" w14:textId="642DBD15" w:rsidR="000B00EC" w:rsidRPr="009E55FB" w:rsidRDefault="007F7F2A" w:rsidP="00C15046">
                            <w:pPr>
                              <w:pStyle w:val="Heading1"/>
                              <w:rPr>
                                <w:rFonts w:ascii="Arial" w:hAnsi="Arial"/>
                                <w:b w:val="0"/>
                                <w:sz w:val="18"/>
                                <w:szCs w:val="18"/>
                              </w:rPr>
                            </w:pPr>
                            <w:r w:rsidRPr="007F7F2A">
                              <w:rPr>
                                <w:rFonts w:ascii="Arial" w:hAnsi="Arial"/>
                                <w:b w:val="0"/>
                                <w:sz w:val="18"/>
                                <w:szCs w:val="18"/>
                              </w:rPr>
                              <w:t>These Work Groups uniquely offer lead participants the opportunity for sustained Core Maths professional development through collaboration over time. This project will contribute to the wider national effort to support teachers and leaders increase the growth in uptake and delivery of Core Maths in schools and colleges and to embed a culture of Core Maths within school and college maths departments with confidence.</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AA3E58" id="_x0000_s1036" type="#_x0000_t202" style="position:absolute;margin-left:-21.05pt;margin-top:-64.45pt;width:555.2pt;height:9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" filled="f" stroked="f">
                <v:textbox inset=",0,,0">
                  <w:txbxContent>
                    <w:p w14:paraId="70BEE526" w14:textId="642DBD15" w:rsidR="000B00EC" w:rsidRPr="009E55FB" w:rsidRDefault="007F7F2A" w:rsidP="00C15046">
                      <w:pPr>
                        <w:pStyle w:val="Heading1"/>
                        <w:rPr>
                          <w:rFonts w:ascii="Arial" w:hAnsi="Arial"/>
                          <w:b w:val="0"/>
                          <w:sz w:val="18"/>
                          <w:szCs w:val="18"/>
                        </w:rPr>
                      </w:pPr>
                      <w:r w:rsidRPr="007F7F2A">
                        <w:rPr>
                          <w:rFonts w:ascii="Arial" w:hAnsi="Arial"/>
                          <w:b w:val="0"/>
                          <w:sz w:val="18"/>
                          <w:szCs w:val="18"/>
                        </w:rPr>
                        <w:t>These Work Groups uniquely offer lead participants the opportunity for sustained Core Maths professional development through collaboration over time. This project will contribute to the wider national effort to support teachers and leaders increase the growth in uptake and delivery of Core Maths in schools and colleges and to embed a culture of Core Maths within school and college maths departments with confidence.</w:t>
                      </w:r>
                    </w:p>
                  </w:txbxContent>
                </v:textbox>
              </v:shape>
            </w:pict>
          </mc:Fallback>
        </mc:AlternateContent>
      </w:r>
      <w:r w:rsidR="0066240D">
        <w:rPr>
          <w:noProof/>
        </w:rPr>
        <mc:AlternateContent>
          <mc:Choice Requires="wps">
            <w:drawing>
              <wp:anchor distT="45720" distB="45720" distL="114300" distR="114300" simplePos="0" relativeHeight="251658240" behindDoc="0" locked="0" layoutInCell="1" allowOverlap="1" wp14:anchorId="6DA7BD1B" wp14:editId="45360E28">
                <wp:simplePos x="0" y="0"/>
                <wp:positionH relativeFrom="column">
                  <wp:posOffset>-267430</wp:posOffset>
                </wp:positionH>
                <wp:positionV relativeFrom="paragraph">
                  <wp:posOffset>-1173224</wp:posOffset>
                </wp:positionV>
                <wp:extent cx="7050557" cy="3543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557" cy="354330"/>
                        </a:xfrm>
                        <a:prstGeom prst="rect">
                          <a:avLst/>
                        </a:prstGeom>
                        <a:noFill/>
                        <a:ln w="9525">
                          <a:noFill/>
                          <a:miter lim="800000"/>
                          <a:headEnd/>
                          <a:tailEnd/>
                        </a:ln>
                      </wps:spPr>
                      <wps:txbx>
                        <w:txbxContent>
                          <w:p w14:paraId="238B2E32" w14:textId="3B207967" w:rsidR="00E7553E" w:rsidRPr="0005775B" w:rsidRDefault="000B00EC" w:rsidP="00E7553E">
                            <w:pPr>
                              <w:pStyle w:val="Heading1"/>
                              <w:rPr>
                                <w:color w:val="FFFFFF" w:themeColor="background1"/>
                                <w:sz w:val="32"/>
                                <w:szCs w:val="20"/>
                              </w:rPr>
                            </w:pPr>
                            <w:r>
                              <w:rPr>
                                <w:color w:val="FFFFFF" w:themeColor="background1"/>
                                <w:sz w:val="32"/>
                                <w:szCs w:val="20"/>
                              </w:rPr>
                              <w:t>The wider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7BD1B" id="_x0000_s1037" type="#_x0000_t202" style="position:absolute;margin-left:-21.05pt;margin-top:-92.4pt;width:555.15pt;height:27.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" filled="f" stroked="f">
                <v:textbox>
                  <w:txbxContent>
                    <w:p w14:paraId="238B2E32" w14:textId="3B207967" w:rsidR="00E7553E" w:rsidRPr="0005775B" w:rsidRDefault="000B00EC" w:rsidP="00E7553E">
                      <w:pPr>
                        <w:pStyle w:val="Heading1"/>
                        <w:rPr>
                          <w:color w:val="FFFFFF" w:themeColor="background1"/>
                          <w:sz w:val="32"/>
                          <w:szCs w:val="20"/>
                        </w:rPr>
                      </w:pPr>
                      <w:r>
                        <w:rPr>
                          <w:color w:val="FFFFFF" w:themeColor="background1"/>
                          <w:sz w:val="32"/>
                          <w:szCs w:val="20"/>
                        </w:rPr>
                        <w:t>The wider context</w:t>
                      </w:r>
                    </w:p>
                  </w:txbxContent>
                </v:textbox>
              </v:shape>
            </w:pict>
          </mc:Fallback>
        </mc:AlternateContent>
      </w:r>
    </w:p>
    <w:sectPr w:rsidR="00B1542E" w:rsidRPr="00217065" w:rsidSect="002160D7">
      <w:headerReference w:type="default" r:id="rId12"/>
      <w:headerReference w:type="first" r:id="rId13"/>
      <w:pgSz w:w="11906" w:h="16838"/>
      <w:pgMar w:top="2127" w:right="849" w:bottom="1531"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6330" w14:textId="77777777" w:rsidR="0028082C" w:rsidRDefault="0028082C">
      <w:r>
        <w:separator/>
      </w:r>
    </w:p>
  </w:endnote>
  <w:endnote w:type="continuationSeparator" w:id="0">
    <w:p w14:paraId="5A689C88" w14:textId="77777777" w:rsidR="0028082C" w:rsidRDefault="00280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33AE7" w14:textId="77777777" w:rsidR="0028082C" w:rsidRDefault="0028082C">
      <w:r>
        <w:separator/>
      </w:r>
    </w:p>
  </w:footnote>
  <w:footnote w:type="continuationSeparator" w:id="0">
    <w:p w14:paraId="556EF7D6" w14:textId="77777777" w:rsidR="0028082C" w:rsidRDefault="00280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25BD" w14:textId="748BD648" w:rsidR="00CD4C4E" w:rsidRDefault="00CD4C4E">
    <w:pPr>
      <w:pStyle w:val="Header"/>
    </w:pPr>
    <w:r>
      <w:rPr>
        <w:bCs w:val="0"/>
      </w:rPr>
      <w:drawing>
        <wp:anchor distT="0" distB="0" distL="114300" distR="114300" simplePos="0" relativeHeight="251661824" behindDoc="1" locked="0" layoutInCell="1" allowOverlap="1" wp14:anchorId="33A87C99" wp14:editId="77CC3066">
          <wp:simplePos x="0" y="0"/>
          <wp:positionH relativeFrom="column">
            <wp:posOffset>-540385</wp:posOffset>
          </wp:positionH>
          <wp:positionV relativeFrom="paragraph">
            <wp:posOffset>-450215</wp:posOffset>
          </wp:positionV>
          <wp:extent cx="7570800" cy="107090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800" cy="107090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51B8" w14:textId="77D1E212" w:rsidR="00F01751" w:rsidRDefault="00F01751">
    <w:pPr>
      <w:pStyle w:val="Header"/>
    </w:pPr>
    <w:r>
      <w:rPr>
        <w:bCs w:val="0"/>
      </w:rPr>
      <w:drawing>
        <wp:anchor distT="0" distB="0" distL="114300" distR="114300" simplePos="0" relativeHeight="251659776" behindDoc="1" locked="0" layoutInCell="1" allowOverlap="1" wp14:anchorId="49DAD1C3" wp14:editId="24B02111">
          <wp:simplePos x="0" y="0"/>
          <wp:positionH relativeFrom="column">
            <wp:posOffset>-540385</wp:posOffset>
          </wp:positionH>
          <wp:positionV relativeFrom="paragraph">
            <wp:posOffset>-450215</wp:posOffset>
          </wp:positionV>
          <wp:extent cx="7570953" cy="10709236"/>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953" cy="107092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D15C2F"/>
    <w:multiLevelType w:val="hybridMultilevel"/>
    <w:tmpl w:val="959AD6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043CA"/>
    <w:multiLevelType w:val="hybridMultilevel"/>
    <w:tmpl w:val="D382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237A8"/>
    <w:multiLevelType w:val="multilevel"/>
    <w:tmpl w:val="E0303F1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3ABE402E"/>
    <w:multiLevelType w:val="hybridMultilevel"/>
    <w:tmpl w:val="92C402F6"/>
    <w:lvl w:ilvl="0" w:tplc="E00CB0FC">
      <w:start w:val="1"/>
      <w:numFmt w:val="bullet"/>
      <w:lvlText w:val=""/>
      <w:lvlJc w:val="left"/>
      <w:pPr>
        <w:ind w:left="982" w:hanging="360"/>
      </w:pPr>
      <w:rPr>
        <w:rFonts w:ascii="Symbol" w:hAnsi="Symbol" w:hint="default"/>
        <w:color w:val="FF0000"/>
      </w:rPr>
    </w:lvl>
    <w:lvl w:ilvl="1" w:tplc="08090003" w:tentative="1">
      <w:start w:val="1"/>
      <w:numFmt w:val="bullet"/>
      <w:lvlText w:val="o"/>
      <w:lvlJc w:val="left"/>
      <w:pPr>
        <w:ind w:left="1702" w:hanging="360"/>
      </w:pPr>
      <w:rPr>
        <w:rFonts w:ascii="Courier New" w:hAnsi="Courier New" w:cs="Courier New" w:hint="default"/>
      </w:rPr>
    </w:lvl>
    <w:lvl w:ilvl="2" w:tplc="08090005" w:tentative="1">
      <w:start w:val="1"/>
      <w:numFmt w:val="bullet"/>
      <w:lvlText w:val=""/>
      <w:lvlJc w:val="left"/>
      <w:pPr>
        <w:ind w:left="2422" w:hanging="360"/>
      </w:pPr>
      <w:rPr>
        <w:rFonts w:ascii="Wingdings" w:hAnsi="Wingdings" w:hint="default"/>
      </w:rPr>
    </w:lvl>
    <w:lvl w:ilvl="3" w:tplc="08090001" w:tentative="1">
      <w:start w:val="1"/>
      <w:numFmt w:val="bullet"/>
      <w:lvlText w:val=""/>
      <w:lvlJc w:val="left"/>
      <w:pPr>
        <w:ind w:left="3142" w:hanging="360"/>
      </w:pPr>
      <w:rPr>
        <w:rFonts w:ascii="Symbol" w:hAnsi="Symbol" w:hint="default"/>
      </w:rPr>
    </w:lvl>
    <w:lvl w:ilvl="4" w:tplc="08090003" w:tentative="1">
      <w:start w:val="1"/>
      <w:numFmt w:val="bullet"/>
      <w:lvlText w:val="o"/>
      <w:lvlJc w:val="left"/>
      <w:pPr>
        <w:ind w:left="3862" w:hanging="360"/>
      </w:pPr>
      <w:rPr>
        <w:rFonts w:ascii="Courier New" w:hAnsi="Courier New" w:cs="Courier New" w:hint="default"/>
      </w:rPr>
    </w:lvl>
    <w:lvl w:ilvl="5" w:tplc="08090005" w:tentative="1">
      <w:start w:val="1"/>
      <w:numFmt w:val="bullet"/>
      <w:lvlText w:val=""/>
      <w:lvlJc w:val="left"/>
      <w:pPr>
        <w:ind w:left="4582" w:hanging="360"/>
      </w:pPr>
      <w:rPr>
        <w:rFonts w:ascii="Wingdings" w:hAnsi="Wingdings" w:hint="default"/>
      </w:rPr>
    </w:lvl>
    <w:lvl w:ilvl="6" w:tplc="08090001" w:tentative="1">
      <w:start w:val="1"/>
      <w:numFmt w:val="bullet"/>
      <w:lvlText w:val=""/>
      <w:lvlJc w:val="left"/>
      <w:pPr>
        <w:ind w:left="5302" w:hanging="360"/>
      </w:pPr>
      <w:rPr>
        <w:rFonts w:ascii="Symbol" w:hAnsi="Symbol" w:hint="default"/>
      </w:rPr>
    </w:lvl>
    <w:lvl w:ilvl="7" w:tplc="08090003" w:tentative="1">
      <w:start w:val="1"/>
      <w:numFmt w:val="bullet"/>
      <w:lvlText w:val="o"/>
      <w:lvlJc w:val="left"/>
      <w:pPr>
        <w:ind w:left="6022" w:hanging="360"/>
      </w:pPr>
      <w:rPr>
        <w:rFonts w:ascii="Courier New" w:hAnsi="Courier New" w:cs="Courier New" w:hint="default"/>
      </w:rPr>
    </w:lvl>
    <w:lvl w:ilvl="8" w:tplc="08090005" w:tentative="1">
      <w:start w:val="1"/>
      <w:numFmt w:val="bullet"/>
      <w:lvlText w:val=""/>
      <w:lvlJc w:val="left"/>
      <w:pPr>
        <w:ind w:left="6742" w:hanging="360"/>
      </w:pPr>
      <w:rPr>
        <w:rFonts w:ascii="Wingdings" w:hAnsi="Wingdings" w:hint="default"/>
      </w:rPr>
    </w:lvl>
  </w:abstractNum>
  <w:abstractNum w:abstractNumId="10"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DC69A1"/>
    <w:multiLevelType w:val="hybridMultilevel"/>
    <w:tmpl w:val="1AF6B1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A3256A"/>
    <w:multiLevelType w:val="hybridMultilevel"/>
    <w:tmpl w:val="B29ED76A"/>
    <w:lvl w:ilvl="0" w:tplc="AA701AC8">
      <w:start w:val="1"/>
      <w:numFmt w:val="bullet"/>
      <w:lvlText w:val=""/>
      <w:lvlJc w:val="left"/>
      <w:pPr>
        <w:ind w:left="720" w:hanging="360"/>
      </w:pPr>
      <w:rPr>
        <w:rFonts w:ascii="Wingdings" w:hAnsi="Wingdings"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BC2D3F"/>
    <w:multiLevelType w:val="hybridMultilevel"/>
    <w:tmpl w:val="E8D25D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2110E0"/>
    <w:multiLevelType w:val="hybridMultilevel"/>
    <w:tmpl w:val="3E9E9ACC"/>
    <w:lvl w:ilvl="0" w:tplc="B72219F8">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2"/>
  </w:num>
  <w:num w:numId="3">
    <w:abstractNumId w:val="17"/>
  </w:num>
  <w:num w:numId="4">
    <w:abstractNumId w:val="6"/>
  </w:num>
  <w:num w:numId="5">
    <w:abstractNumId w:val="10"/>
  </w:num>
  <w:num w:numId="6">
    <w:abstractNumId w:val="5"/>
  </w:num>
  <w:num w:numId="7">
    <w:abstractNumId w:val="3"/>
  </w:num>
  <w:num w:numId="8">
    <w:abstractNumId w:val="20"/>
  </w:num>
  <w:num w:numId="9">
    <w:abstractNumId w:val="15"/>
  </w:num>
  <w:num w:numId="10">
    <w:abstractNumId w:val="13"/>
  </w:num>
  <w:num w:numId="11">
    <w:abstractNumId w:val="18"/>
  </w:num>
  <w:num w:numId="12">
    <w:abstractNumId w:val="12"/>
  </w:num>
  <w:num w:numId="13">
    <w:abstractNumId w:val="2"/>
  </w:num>
  <w:num w:numId="14">
    <w:abstractNumId w:val="0"/>
  </w:num>
  <w:num w:numId="15">
    <w:abstractNumId w:val="23"/>
  </w:num>
  <w:num w:numId="16">
    <w:abstractNumId w:val="19"/>
  </w:num>
  <w:num w:numId="17">
    <w:abstractNumId w:val="7"/>
  </w:num>
  <w:num w:numId="18">
    <w:abstractNumId w:val="14"/>
  </w:num>
  <w:num w:numId="19">
    <w:abstractNumId w:val="9"/>
  </w:num>
  <w:num w:numId="20">
    <w:abstractNumId w:val="21"/>
  </w:num>
  <w:num w:numId="21">
    <w:abstractNumId w:val="4"/>
  </w:num>
  <w:num w:numId="22">
    <w:abstractNumId w:val="16"/>
  </w:num>
  <w:num w:numId="23">
    <w:abstractNumId w:val="1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A62"/>
    <w:rsid w:val="000356E2"/>
    <w:rsid w:val="0005775B"/>
    <w:rsid w:val="000758E1"/>
    <w:rsid w:val="0008020E"/>
    <w:rsid w:val="0008266D"/>
    <w:rsid w:val="00097194"/>
    <w:rsid w:val="000B00EC"/>
    <w:rsid w:val="000B0BA7"/>
    <w:rsid w:val="000B0F95"/>
    <w:rsid w:val="000B5B4C"/>
    <w:rsid w:val="000C046E"/>
    <w:rsid w:val="000C3D4C"/>
    <w:rsid w:val="000D1090"/>
    <w:rsid w:val="000F3C70"/>
    <w:rsid w:val="000F7E46"/>
    <w:rsid w:val="00112CF3"/>
    <w:rsid w:val="00113333"/>
    <w:rsid w:val="00113EE1"/>
    <w:rsid w:val="00124764"/>
    <w:rsid w:val="00131328"/>
    <w:rsid w:val="00136314"/>
    <w:rsid w:val="00144622"/>
    <w:rsid w:val="00160CFB"/>
    <w:rsid w:val="0016543F"/>
    <w:rsid w:val="00171EF1"/>
    <w:rsid w:val="00173A6B"/>
    <w:rsid w:val="00187112"/>
    <w:rsid w:val="001A24A4"/>
    <w:rsid w:val="001B4E98"/>
    <w:rsid w:val="001C6847"/>
    <w:rsid w:val="001F0497"/>
    <w:rsid w:val="001F0D3C"/>
    <w:rsid w:val="001F316A"/>
    <w:rsid w:val="00206D5D"/>
    <w:rsid w:val="002160D7"/>
    <w:rsid w:val="00217065"/>
    <w:rsid w:val="00221AAF"/>
    <w:rsid w:val="002233A8"/>
    <w:rsid w:val="0022547B"/>
    <w:rsid w:val="00226B77"/>
    <w:rsid w:val="002275DB"/>
    <w:rsid w:val="00246719"/>
    <w:rsid w:val="002616DF"/>
    <w:rsid w:val="0028082C"/>
    <w:rsid w:val="002B7AF9"/>
    <w:rsid w:val="002C1D72"/>
    <w:rsid w:val="002D7D97"/>
    <w:rsid w:val="002E1E31"/>
    <w:rsid w:val="002E4F95"/>
    <w:rsid w:val="0030510F"/>
    <w:rsid w:val="00314394"/>
    <w:rsid w:val="00346ED5"/>
    <w:rsid w:val="003536B9"/>
    <w:rsid w:val="003562A2"/>
    <w:rsid w:val="00364A21"/>
    <w:rsid w:val="00367DFD"/>
    <w:rsid w:val="00370BA1"/>
    <w:rsid w:val="003A33AC"/>
    <w:rsid w:val="003C67CD"/>
    <w:rsid w:val="003C79B3"/>
    <w:rsid w:val="003E15C0"/>
    <w:rsid w:val="003F39A1"/>
    <w:rsid w:val="003F6529"/>
    <w:rsid w:val="0042095B"/>
    <w:rsid w:val="0044150C"/>
    <w:rsid w:val="004438CC"/>
    <w:rsid w:val="00455A67"/>
    <w:rsid w:val="00463233"/>
    <w:rsid w:val="00463B0F"/>
    <w:rsid w:val="004A23AC"/>
    <w:rsid w:val="004B5517"/>
    <w:rsid w:val="004E5097"/>
    <w:rsid w:val="004F2397"/>
    <w:rsid w:val="004F33E7"/>
    <w:rsid w:val="004F67D0"/>
    <w:rsid w:val="0050233C"/>
    <w:rsid w:val="00511499"/>
    <w:rsid w:val="00513BE1"/>
    <w:rsid w:val="00517CF5"/>
    <w:rsid w:val="00526A62"/>
    <w:rsid w:val="00545D4B"/>
    <w:rsid w:val="0057079E"/>
    <w:rsid w:val="00570B10"/>
    <w:rsid w:val="005714D7"/>
    <w:rsid w:val="00591A7D"/>
    <w:rsid w:val="005943B8"/>
    <w:rsid w:val="0059468E"/>
    <w:rsid w:val="00597F34"/>
    <w:rsid w:val="005A2D0B"/>
    <w:rsid w:val="005C1548"/>
    <w:rsid w:val="005D40AC"/>
    <w:rsid w:val="005D6667"/>
    <w:rsid w:val="005E4DFA"/>
    <w:rsid w:val="005E586D"/>
    <w:rsid w:val="006019C4"/>
    <w:rsid w:val="0061166F"/>
    <w:rsid w:val="00622305"/>
    <w:rsid w:val="00623849"/>
    <w:rsid w:val="006545AE"/>
    <w:rsid w:val="0066240D"/>
    <w:rsid w:val="00664638"/>
    <w:rsid w:val="0066507E"/>
    <w:rsid w:val="006B6F5D"/>
    <w:rsid w:val="006B7352"/>
    <w:rsid w:val="006C6C4E"/>
    <w:rsid w:val="006D4798"/>
    <w:rsid w:val="006F69FF"/>
    <w:rsid w:val="00711B07"/>
    <w:rsid w:val="0071561C"/>
    <w:rsid w:val="00730C3F"/>
    <w:rsid w:val="007409B2"/>
    <w:rsid w:val="007565F7"/>
    <w:rsid w:val="00763AF2"/>
    <w:rsid w:val="00766450"/>
    <w:rsid w:val="007718C6"/>
    <w:rsid w:val="007B5EF2"/>
    <w:rsid w:val="007C2FFF"/>
    <w:rsid w:val="007D555B"/>
    <w:rsid w:val="007F7F2A"/>
    <w:rsid w:val="00802C7B"/>
    <w:rsid w:val="00821B92"/>
    <w:rsid w:val="008228DB"/>
    <w:rsid w:val="0084530F"/>
    <w:rsid w:val="00846D33"/>
    <w:rsid w:val="0085080F"/>
    <w:rsid w:val="00852AEB"/>
    <w:rsid w:val="00862A4C"/>
    <w:rsid w:val="00863195"/>
    <w:rsid w:val="008771FA"/>
    <w:rsid w:val="008870B5"/>
    <w:rsid w:val="008C7DA1"/>
    <w:rsid w:val="008D6298"/>
    <w:rsid w:val="008D7594"/>
    <w:rsid w:val="008F41DA"/>
    <w:rsid w:val="008F6A2A"/>
    <w:rsid w:val="0091118A"/>
    <w:rsid w:val="00914470"/>
    <w:rsid w:val="009171D3"/>
    <w:rsid w:val="009230A4"/>
    <w:rsid w:val="00927469"/>
    <w:rsid w:val="00931E7C"/>
    <w:rsid w:val="00942496"/>
    <w:rsid w:val="009532A6"/>
    <w:rsid w:val="009577B2"/>
    <w:rsid w:val="00976E09"/>
    <w:rsid w:val="00984AF9"/>
    <w:rsid w:val="00987CB5"/>
    <w:rsid w:val="009A3133"/>
    <w:rsid w:val="009B3492"/>
    <w:rsid w:val="009C3904"/>
    <w:rsid w:val="009D6838"/>
    <w:rsid w:val="009E2BE3"/>
    <w:rsid w:val="009E55FB"/>
    <w:rsid w:val="009F0B02"/>
    <w:rsid w:val="009F6AB8"/>
    <w:rsid w:val="009F7D8B"/>
    <w:rsid w:val="009F7E33"/>
    <w:rsid w:val="00A03F9F"/>
    <w:rsid w:val="00A11035"/>
    <w:rsid w:val="00A170B3"/>
    <w:rsid w:val="00A17C71"/>
    <w:rsid w:val="00A2119A"/>
    <w:rsid w:val="00A26615"/>
    <w:rsid w:val="00A31FFB"/>
    <w:rsid w:val="00A40A54"/>
    <w:rsid w:val="00A64C5B"/>
    <w:rsid w:val="00A71403"/>
    <w:rsid w:val="00A840C3"/>
    <w:rsid w:val="00AB5C61"/>
    <w:rsid w:val="00AC0FDE"/>
    <w:rsid w:val="00AD51F7"/>
    <w:rsid w:val="00AE7BBD"/>
    <w:rsid w:val="00AF4C7E"/>
    <w:rsid w:val="00B1542E"/>
    <w:rsid w:val="00B20608"/>
    <w:rsid w:val="00B3110C"/>
    <w:rsid w:val="00B3584E"/>
    <w:rsid w:val="00B63194"/>
    <w:rsid w:val="00B7749E"/>
    <w:rsid w:val="00B813CB"/>
    <w:rsid w:val="00B83499"/>
    <w:rsid w:val="00B906A9"/>
    <w:rsid w:val="00BA50C9"/>
    <w:rsid w:val="00BC2A50"/>
    <w:rsid w:val="00BD47A5"/>
    <w:rsid w:val="00BE1C47"/>
    <w:rsid w:val="00C121D4"/>
    <w:rsid w:val="00C15046"/>
    <w:rsid w:val="00C34835"/>
    <w:rsid w:val="00C52351"/>
    <w:rsid w:val="00C53DA0"/>
    <w:rsid w:val="00C56727"/>
    <w:rsid w:val="00C74C0E"/>
    <w:rsid w:val="00C85CAE"/>
    <w:rsid w:val="00C91B1C"/>
    <w:rsid w:val="00CA2B8D"/>
    <w:rsid w:val="00CC49C8"/>
    <w:rsid w:val="00CD214E"/>
    <w:rsid w:val="00CD3CF4"/>
    <w:rsid w:val="00CD4C4E"/>
    <w:rsid w:val="00CD77E5"/>
    <w:rsid w:val="00CE38DA"/>
    <w:rsid w:val="00CF3E3F"/>
    <w:rsid w:val="00CF5D00"/>
    <w:rsid w:val="00D07FFC"/>
    <w:rsid w:val="00D36F27"/>
    <w:rsid w:val="00D46955"/>
    <w:rsid w:val="00D5440E"/>
    <w:rsid w:val="00D5643F"/>
    <w:rsid w:val="00D600EB"/>
    <w:rsid w:val="00D606FE"/>
    <w:rsid w:val="00D62548"/>
    <w:rsid w:val="00D71337"/>
    <w:rsid w:val="00D86B23"/>
    <w:rsid w:val="00DA1D15"/>
    <w:rsid w:val="00DC6544"/>
    <w:rsid w:val="00DC75D1"/>
    <w:rsid w:val="00DC771E"/>
    <w:rsid w:val="00DD2266"/>
    <w:rsid w:val="00DE52F0"/>
    <w:rsid w:val="00DF25D9"/>
    <w:rsid w:val="00E02394"/>
    <w:rsid w:val="00E04DCB"/>
    <w:rsid w:val="00E05920"/>
    <w:rsid w:val="00E123BD"/>
    <w:rsid w:val="00E2271A"/>
    <w:rsid w:val="00E407C5"/>
    <w:rsid w:val="00E52550"/>
    <w:rsid w:val="00E54BE8"/>
    <w:rsid w:val="00E62683"/>
    <w:rsid w:val="00E7553E"/>
    <w:rsid w:val="00E8336C"/>
    <w:rsid w:val="00EA6BE6"/>
    <w:rsid w:val="00EB54C3"/>
    <w:rsid w:val="00EC24B8"/>
    <w:rsid w:val="00EF4122"/>
    <w:rsid w:val="00F01751"/>
    <w:rsid w:val="00F0325D"/>
    <w:rsid w:val="00F16051"/>
    <w:rsid w:val="00F21C84"/>
    <w:rsid w:val="00F82464"/>
    <w:rsid w:val="00F927F5"/>
    <w:rsid w:val="00FA0A7A"/>
    <w:rsid w:val="00FA1A0C"/>
    <w:rsid w:val="00FB4195"/>
    <w:rsid w:val="00FC3999"/>
    <w:rsid w:val="00FC59B4"/>
    <w:rsid w:val="00FC6793"/>
    <w:rsid w:val="00FC6CE8"/>
    <w:rsid w:val="00FD2BB6"/>
    <w:rsid w:val="00FE5109"/>
    <w:rsid w:val="00FE7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Subtitle"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6C4E"/>
    <w:pPr>
      <w:spacing w:before="230" w:line="230" w:lineRule="atLeast"/>
    </w:pPr>
    <w:rPr>
      <w:rFonts w:ascii="Myriad Pro" w:hAnsi="Myriad Pro"/>
      <w:b w:val="0"/>
      <w:sz w:val="20"/>
    </w:rPr>
  </w:style>
  <w:style w:type="paragraph" w:styleId="Heading1">
    <w:name w:val="heading 1"/>
    <w:aliases w:val="Title/Heading"/>
    <w:basedOn w:val="Normal"/>
    <w:next w:val="Normal"/>
    <w:link w:val="Heading1Char"/>
    <w:qFormat/>
    <w:rsid w:val="006C6C4E"/>
    <w:pPr>
      <w:keepNext/>
      <w:spacing w:before="0" w:line="240" w:lineRule="auto"/>
      <w:outlineLvl w:val="0"/>
    </w:pPr>
    <w:rPr>
      <w:rFonts w:ascii="Century Gothic" w:hAnsi="Century Gothic"/>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E05920"/>
    <w:pPr>
      <w:numPr>
        <w:ilvl w:val="1"/>
      </w:numPr>
      <w:spacing w:after="160"/>
    </w:pPr>
    <w:rPr>
      <w:rFonts w:ascii="Century Gothic" w:eastAsiaTheme="minorEastAsia" w:hAnsi="Century Gothic" w:cstheme="minorBidi"/>
      <w:color w:val="5A5A5A" w:themeColor="text1" w:themeTint="A5"/>
      <w:spacing w:val="15"/>
      <w:sz w:val="28"/>
      <w:szCs w:val="22"/>
    </w:rPr>
  </w:style>
  <w:style w:type="character" w:customStyle="1" w:styleId="SubtitleChar">
    <w:name w:val="Subtitle Char"/>
    <w:basedOn w:val="DefaultParagraphFont"/>
    <w:link w:val="Subtitle"/>
    <w:rsid w:val="00E05920"/>
    <w:rPr>
      <w:rFonts w:eastAsiaTheme="minorEastAsia"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uiPriority w:val="39"/>
    <w:rsid w:val="00A64C5B"/>
    <w:rPr>
      <w:rFonts w:asciiTheme="minorHAnsi" w:eastAsiaTheme="minorHAnsi" w:hAnsiTheme="minorHAnsi" w:cstheme="minorBidi"/>
      <w:b w:val="0"/>
      <w:bCs w:val="0"/>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List,Colorful List - Accent 11,Bullet 1,Numbered Para 1,Dot pt,No Spacing1,List Paragraph Char Char Char,Indicator Text,List Paragraph1,Bullet Points,MAIN CONTENT,F5 List Paragraph,List Paragraph12,Bullet Style,Normal numbered,L"/>
    <w:basedOn w:val="Normal"/>
    <w:link w:val="ListParagraphChar"/>
    <w:uiPriority w:val="34"/>
    <w:qFormat/>
    <w:rsid w:val="00852AEB"/>
    <w:pPr>
      <w:ind w:left="720"/>
      <w:contextualSpacing/>
    </w:pPr>
  </w:style>
  <w:style w:type="character" w:customStyle="1" w:styleId="Heading1Char">
    <w:name w:val="Heading 1 Char"/>
    <w:aliases w:val="Title/Heading Char"/>
    <w:basedOn w:val="DefaultParagraphFont"/>
    <w:link w:val="Heading1"/>
    <w:rsid w:val="00E7553E"/>
    <w:rPr>
      <w:szCs w:val="24"/>
      <w:lang w:eastAsia="en-US"/>
    </w:rPr>
  </w:style>
  <w:style w:type="character" w:customStyle="1" w:styleId="ListParagraphChar">
    <w:name w:val="List Paragraph Char"/>
    <w:aliases w:val="NumberedList Char,Colorful List - Accent 11 Char,Bullet 1 Char,Numbered Para 1 Char,Dot pt Char,No Spacing1 Char,List Paragraph Char Char Char Char,Indicator Text Char,List Paragraph1 Char,Bullet Points Char,MAIN CONTENT Char,L Char"/>
    <w:link w:val="ListParagraph"/>
    <w:uiPriority w:val="34"/>
    <w:qFormat/>
    <w:locked/>
    <w:rsid w:val="00314394"/>
    <w:rPr>
      <w:rFonts w:ascii="Myriad Pro" w:hAnsi="Myriad Pro"/>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4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4AF5EC72D8DB4BBD68844986FCC4F3" ma:contentTypeVersion="10" ma:contentTypeDescription="Create a new document." ma:contentTypeScope="" ma:versionID="56daa28109d0c9ebe9cc30e7b0cf1625">
  <xsd:schema xmlns:xsd="http://www.w3.org/2001/XMLSchema" xmlns:xs="http://www.w3.org/2001/XMLSchema" xmlns:p="http://schemas.microsoft.com/office/2006/metadata/properties" xmlns:ns3="4682f752-cf74-438a-bebb-9c890ba775ba" targetNamespace="http://schemas.microsoft.com/office/2006/metadata/properties" ma:root="true" ma:fieldsID="f23371f4aef352ff593220449162b12d" ns3:_="">
    <xsd:import namespace="4682f752-cf74-438a-bebb-9c890ba775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2f752-cf74-438a-bebb-9c890ba77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8C456C-B7B5-4740-83D1-70B4D594D105}">
  <ds:schemaRefs>
    <ds:schemaRef ds:uri="http://schemas.openxmlformats.org/officeDocument/2006/bibliography"/>
  </ds:schemaRefs>
</ds:datastoreItem>
</file>

<file path=customXml/itemProps2.xml><?xml version="1.0" encoding="utf-8"?>
<ds:datastoreItem xmlns:ds="http://schemas.openxmlformats.org/officeDocument/2006/customXml" ds:itemID="{3DB46326-ED3C-4FBA-B008-AE4BCEF19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2f752-cf74-438a-bebb-9c890ba77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customXml/itemProps4.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Bamber, Martin</cp:lastModifiedBy>
  <cp:revision>2</cp:revision>
  <cp:lastPrinted>2006-10-20T09:58:00Z</cp:lastPrinted>
  <dcterms:created xsi:type="dcterms:W3CDTF">2021-09-13T12:35:00Z</dcterms:created>
  <dcterms:modified xsi:type="dcterms:W3CDTF">2021-09-13T12:35:00Z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0x010100B74AF5EC72D8DB4BBD68844986FCC4F3</vt:lpwstr>
  </property>
</Properties>
</file>